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0E9C" w14:textId="77777777" w:rsidR="00281E97" w:rsidRDefault="00A253FF">
      <w:pPr>
        <w:spacing w:line="14" w:lineRule="exact"/>
      </w:pPr>
      <w:r>
        <w:rPr>
          <w:noProof/>
        </w:rPr>
        <w:drawing>
          <wp:anchor distT="137160" distB="1654175" distL="4479290" distR="123190" simplePos="0" relativeHeight="125829378" behindDoc="0" locked="0" layoutInCell="1" allowOverlap="1" wp14:anchorId="6401361B" wp14:editId="1D85841A">
            <wp:simplePos x="0" y="0"/>
            <wp:positionH relativeFrom="page">
              <wp:posOffset>5252085</wp:posOffset>
            </wp:positionH>
            <wp:positionV relativeFrom="paragraph">
              <wp:posOffset>146050</wp:posOffset>
            </wp:positionV>
            <wp:extent cx="1256030" cy="72517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56030" cy="725170"/>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26298834" wp14:editId="225AF38E">
                <wp:simplePos x="0" y="0"/>
                <wp:positionH relativeFrom="page">
                  <wp:posOffset>5240020</wp:posOffset>
                </wp:positionH>
                <wp:positionV relativeFrom="paragraph">
                  <wp:posOffset>8890</wp:posOffset>
                </wp:positionV>
                <wp:extent cx="1273810" cy="1371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73810" cy="137160"/>
                        </a:xfrm>
                        <a:prstGeom prst="rect">
                          <a:avLst/>
                        </a:prstGeom>
                        <a:noFill/>
                      </wps:spPr>
                      <wps:txbx>
                        <w:txbxContent>
                          <w:p w14:paraId="73389E4D" w14:textId="77777777" w:rsidR="00281E97" w:rsidRDefault="00A253FF">
                            <w:pPr>
                              <w:pStyle w:val="Picturecaption0"/>
                              <w:shd w:val="clear" w:color="auto" w:fill="auto"/>
                            </w:pPr>
                            <w:r>
                              <w:t>COUNCIL OF EUROPE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2.60000000000002pt;margin-top:0.69999999999999996pt;width:100.3pt;height:10.800000000000001pt;z-index:-125829374;mso-wrap-distance-left:0;mso-wrap-distance-right:0;mso-position-horizontal-relative:page"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shd w:val="clear" w:color="auto" w:fill="auto"/>
                        </w:rPr>
                        <w:t xml:space="preserve">COUNCIL OF EUROPE</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163E5F10" wp14:editId="71D19F6F">
                <wp:simplePos x="0" y="0"/>
                <wp:positionH relativeFrom="page">
                  <wp:posOffset>5240020</wp:posOffset>
                </wp:positionH>
                <wp:positionV relativeFrom="paragraph">
                  <wp:posOffset>883920</wp:posOffset>
                </wp:positionV>
                <wp:extent cx="1273810" cy="1403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73810" cy="140335"/>
                        </a:xfrm>
                        <a:prstGeom prst="rect">
                          <a:avLst/>
                        </a:prstGeom>
                        <a:noFill/>
                      </wps:spPr>
                      <wps:txbx>
                        <w:txbxContent>
                          <w:p w14:paraId="3BFE7268" w14:textId="77777777" w:rsidR="00281E97" w:rsidRDefault="00A253FF">
                            <w:pPr>
                              <w:pStyle w:val="Picturecaption0"/>
                              <w:shd w:val="clear" w:color="auto" w:fill="auto"/>
                            </w:pPr>
                            <w:r>
                              <w:t>CONSE IL DE L'EUROPE</w:t>
                            </w:r>
                          </w:p>
                        </w:txbxContent>
                      </wps:txbx>
                      <wps:bodyPr lIns="0" tIns="0" rIns="0" bIns="0">
                        <a:spAutoFit/>
                      </wps:bodyPr>
                    </wps:wsp>
                  </a:graphicData>
                </a:graphic>
              </wp:anchor>
            </w:drawing>
          </mc:Choice>
          <mc:Fallback>
            <w:pict>
              <v:shape id="_x0000_s1031" type="#_x0000_t202" style="position:absolute;margin-left:412.60000000000002pt;margin-top:69.599999999999994pt;width:100.3pt;height:11.050000000000001pt;z-index:-125829372;mso-wrap-distance-left:0;mso-wrap-distance-right:0;mso-position-horizontal-relative:page"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shd w:val="clear" w:color="auto" w:fill="auto"/>
                        </w:rPr>
                        <w:t xml:space="preserve">CONSE IL DE L'EUROPE</w:t>
                      </w:r>
                    </w:p>
                  </w:txbxContent>
                </v:textbox>
                <w10:wrap type="topAndBottom" anchorx="page"/>
              </v:shape>
            </w:pict>
          </mc:Fallback>
        </mc:AlternateContent>
      </w:r>
      <w:r>
        <w:rPr>
          <w:noProof/>
        </w:rPr>
        <mc:AlternateContent>
          <mc:Choice Requires="wps">
            <w:drawing>
              <wp:anchor distT="0" distB="0" distL="0" distR="0" simplePos="0" relativeHeight="125829383" behindDoc="0" locked="0" layoutInCell="1" allowOverlap="1" wp14:anchorId="11DE4F20" wp14:editId="188E4463">
                <wp:simplePos x="0" y="0"/>
                <wp:positionH relativeFrom="page">
                  <wp:posOffset>887095</wp:posOffset>
                </wp:positionH>
                <wp:positionV relativeFrom="paragraph">
                  <wp:posOffset>1206500</wp:posOffset>
                </wp:positionV>
                <wp:extent cx="560514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605145" cy="170815"/>
                        </a:xfrm>
                        <a:prstGeom prst="rect">
                          <a:avLst/>
                        </a:prstGeom>
                        <a:noFill/>
                      </wps:spPr>
                      <wps:txbx>
                        <w:txbxContent>
                          <w:p w14:paraId="2D01BBAC" w14:textId="77777777" w:rsidR="00281E97" w:rsidRDefault="00A253FF">
                            <w:pPr>
                              <w:pStyle w:val="Picturecaption0"/>
                              <w:shd w:val="clear" w:color="auto" w:fill="auto"/>
                              <w:jc w:val="right"/>
                              <w:rPr>
                                <w:sz w:val="22"/>
                                <w:szCs w:val="22"/>
                              </w:rPr>
                            </w:pPr>
                            <w:r>
                              <w:rPr>
                                <w:b w:val="0"/>
                                <w:color w:val="000000"/>
                                <w:sz w:val="22"/>
                              </w:rPr>
                              <w:t>CCPE(2025)5</w:t>
                            </w:r>
                          </w:p>
                        </w:txbxContent>
                      </wps:txbx>
                      <wps:bodyPr lIns="0" tIns="0" rIns="0" bIns="0">
                        <a:spAutoFit/>
                      </wps:bodyPr>
                    </wps:wsp>
                  </a:graphicData>
                </a:graphic>
              </wp:anchor>
            </w:drawing>
          </mc:Choice>
          <mc:Fallback>
            <w:pict>
              <v:shape id="_x0000_s1033" type="#_x0000_t202" style="position:absolute;margin-left:69.849999999999994pt;margin-top:95.pt;width:441.35000000000002pt;height:13.449999999999999pt;z-index:-125829370;mso-wrap-distance-left:0;mso-wrap-distance-right:0;mso-position-horizontal-relative:page"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right"/>
                        <w:rPr>
                          <w:sz w:val="22"/>
                          <w:szCs w:val="22"/>
                        </w:rPr>
                      </w:pPr>
                      <w:r>
                        <w:rPr>
                          <w:b w:val="0"/>
                          <w:color w:val="000000"/>
                          <w:sz w:val="22"/>
                          <w:shd w:val="clear" w:color="auto" w:fill="auto"/>
                        </w:rPr>
                        <w:t xml:space="preserve">CCPE(2025)5</w:t>
                      </w:r>
                    </w:p>
                  </w:txbxContent>
                </v:textbox>
                <w10:wrap type="topAndBottom" anchorx="page"/>
              </v:shape>
            </w:pict>
          </mc:Fallback>
        </mc:AlternateContent>
      </w:r>
      <w:r>
        <w:rPr>
          <w:noProof/>
        </w:rPr>
        <mc:AlternateContent>
          <mc:Choice Requires="wps">
            <w:drawing>
              <wp:anchor distT="1490980" distB="867410" distL="114300" distR="135890" simplePos="0" relativeHeight="125829385" behindDoc="0" locked="0" layoutInCell="1" allowOverlap="1" wp14:anchorId="24E24190" wp14:editId="16FA029D">
                <wp:simplePos x="0" y="0"/>
                <wp:positionH relativeFrom="page">
                  <wp:posOffset>887095</wp:posOffset>
                </wp:positionH>
                <wp:positionV relativeFrom="paragraph">
                  <wp:posOffset>1499870</wp:posOffset>
                </wp:positionV>
                <wp:extent cx="5605145" cy="1492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605145" cy="149225"/>
                        </a:xfrm>
                        <a:prstGeom prst="rect">
                          <a:avLst/>
                        </a:prstGeom>
                        <a:noFill/>
                      </wps:spPr>
                      <wps:txbx>
                        <w:txbxContent>
                          <w:p w14:paraId="53F92F98" w14:textId="77777777" w:rsidR="00281E97" w:rsidRDefault="00A253FF">
                            <w:pPr>
                              <w:pStyle w:val="BodyText"/>
                              <w:shd w:val="clear" w:color="auto" w:fill="auto"/>
                              <w:spacing w:after="0"/>
                              <w:jc w:val="left"/>
                            </w:pPr>
                            <w:r>
                              <w:t>Strasbourg, 17. oktober 2025</w:t>
                            </w:r>
                          </w:p>
                        </w:txbxContent>
                      </wps:txbx>
                      <wps:bodyPr lIns="0" tIns="0" rIns="0" bIns="0"/>
                    </wps:wsp>
                  </a:graphicData>
                </a:graphic>
              </wp:anchor>
            </w:drawing>
          </mc:Choice>
          <mc:Fallback>
            <w:pict>
              <v:shape id="_x0000_s1035" type="#_x0000_t202" style="position:absolute;margin-left:69.849999999999994pt;margin-top:118.09999999999999pt;width:441.35000000000002pt;height:11.75pt;z-index:-125829368;mso-wrap-distance-left:9.pt;mso-wrap-distance-top:117.40000000000001pt;mso-wrap-distance-right:10.699999999999999pt;mso-wrap-distance-bottom:68.299999999999997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hd w:val="clear" w:color="auto" w:fill="auto"/>
                        </w:rPr>
                        <w:t xml:space="preserve">Strasbourg, 17. oktober 2025</w:t>
                      </w:r>
                    </w:p>
                  </w:txbxContent>
                </v:textbox>
                <w10:wrap type="topAndBottom" anchorx="page"/>
              </v:shape>
            </w:pict>
          </mc:Fallback>
        </mc:AlternateContent>
      </w:r>
    </w:p>
    <w:p w14:paraId="5CC04FFC" w14:textId="77777777" w:rsidR="00281E97" w:rsidRDefault="00A253FF">
      <w:pPr>
        <w:pStyle w:val="Heading10"/>
        <w:keepNext/>
        <w:keepLines/>
        <w:shd w:val="clear" w:color="auto" w:fill="auto"/>
      </w:pPr>
      <w:bookmarkStart w:id="0" w:name="bookmark16"/>
      <w:r>
        <w:t>POSVETOVALNI SVET</w:t>
      </w:r>
      <w:r>
        <w:br/>
        <w:t>EVROPSKIH TOŽILCEV (CCPE)</w:t>
      </w:r>
      <w:bookmarkEnd w:id="0"/>
    </w:p>
    <w:p w14:paraId="58C9642A" w14:textId="77777777" w:rsidR="00281E97" w:rsidRDefault="00A253FF">
      <w:pPr>
        <w:pStyle w:val="Bodytext20"/>
        <w:pBdr>
          <w:top w:val="single" w:sz="4" w:space="0" w:color="auto"/>
          <w:left w:val="single" w:sz="4" w:space="0" w:color="auto"/>
          <w:bottom w:val="single" w:sz="4" w:space="0" w:color="auto"/>
          <w:right w:val="single" w:sz="4" w:space="0" w:color="auto"/>
        </w:pBdr>
        <w:shd w:val="clear" w:color="auto" w:fill="auto"/>
        <w:sectPr w:rsidR="00281E97">
          <w:pgSz w:w="11900" w:h="16840"/>
          <w:pgMar w:top="2703" w:right="1382" w:bottom="2703" w:left="1392" w:header="2275" w:footer="2275" w:gutter="0"/>
          <w:pgNumType w:start="1"/>
          <w:cols w:space="720"/>
          <w:noEndnote/>
          <w:docGrid w:linePitch="360"/>
        </w:sectPr>
      </w:pPr>
      <w:r>
        <w:t>Mnenje CCPE št. 20 (2025)</w:t>
      </w:r>
      <w:r>
        <w:br/>
      </w:r>
      <w:r>
        <w:t>o raznolikosti in vključenosti v državnih tožilstvih</w:t>
      </w:r>
    </w:p>
    <w:p w14:paraId="4114957F" w14:textId="77777777" w:rsidR="00281E97" w:rsidRDefault="00A253FF">
      <w:pPr>
        <w:pStyle w:val="Heading20"/>
        <w:keepNext/>
        <w:keepLines/>
        <w:numPr>
          <w:ilvl w:val="0"/>
          <w:numId w:val="1"/>
        </w:numPr>
        <w:shd w:val="clear" w:color="auto" w:fill="auto"/>
        <w:tabs>
          <w:tab w:val="left" w:pos="298"/>
        </w:tabs>
        <w:ind w:left="580" w:hanging="580"/>
      </w:pPr>
      <w:bookmarkStart w:id="1" w:name="bookmark17"/>
      <w:r>
        <w:lastRenderedPageBreak/>
        <w:t>Uvod</w:t>
      </w:r>
      <w:bookmarkEnd w:id="1"/>
    </w:p>
    <w:p w14:paraId="4DB7F4BD" w14:textId="77777777" w:rsidR="00281E97" w:rsidRDefault="00A253FF">
      <w:pPr>
        <w:pStyle w:val="BodyText"/>
        <w:numPr>
          <w:ilvl w:val="0"/>
          <w:numId w:val="2"/>
        </w:numPr>
        <w:shd w:val="clear" w:color="auto" w:fill="auto"/>
        <w:tabs>
          <w:tab w:val="left" w:pos="568"/>
        </w:tabs>
        <w:ind w:left="580" w:hanging="580"/>
      </w:pPr>
      <w:r>
        <w:t>V skladu z mandatom, ki ga je podelil Odbor ministrov, je Posvetovalni svet evropskih tožilcev (CCPE) pripravil to mnenje o raznolikosti in vključenosti v državnih tožilstvih.</w:t>
      </w:r>
    </w:p>
    <w:p w14:paraId="2534DB11" w14:textId="77777777" w:rsidR="00281E97" w:rsidRDefault="00A253FF">
      <w:pPr>
        <w:pStyle w:val="BodyText"/>
        <w:numPr>
          <w:ilvl w:val="0"/>
          <w:numId w:val="2"/>
        </w:numPr>
        <w:shd w:val="clear" w:color="auto" w:fill="auto"/>
        <w:tabs>
          <w:tab w:val="left" w:pos="568"/>
        </w:tabs>
        <w:ind w:left="580" w:hanging="580"/>
      </w:pPr>
      <w:r>
        <w:t>Reykjaviška načela za demokracijo, sprejeta na 4. vrhu voditeljev držav in vlad Sveta Evrope, poudarjajo tudi zavezanost držav članic k zagotavljanju neodvisnosti in nepristranskosti sodstva.</w:t>
      </w:r>
    </w:p>
    <w:p w14:paraId="77C4DDEF" w14:textId="77777777" w:rsidR="00281E97" w:rsidRDefault="00A253FF">
      <w:pPr>
        <w:pStyle w:val="BodyText"/>
        <w:numPr>
          <w:ilvl w:val="0"/>
          <w:numId w:val="2"/>
        </w:numPr>
        <w:shd w:val="clear" w:color="auto" w:fill="auto"/>
        <w:tabs>
          <w:tab w:val="left" w:pos="568"/>
        </w:tabs>
        <w:ind w:left="580" w:hanging="580"/>
      </w:pPr>
      <w:r>
        <w:t>Neodvisnost in avtonomija državnih tožilstev sta neločljivo povezani z neodvisnostjo sodstva</w:t>
      </w:r>
      <w:hyperlink w:anchor="bookmark0" w:tooltip="Trenutni dokument">
        <w:r>
          <w:t>.</w:t>
        </w:r>
        <w:r>
          <w:rPr>
            <w:vertAlign w:val="superscript"/>
            <w:lang w:val="en-US" w:eastAsia="en-US" w:bidi="en-US"/>
          </w:rPr>
          <w:footnoteReference w:id="1"/>
        </w:r>
      </w:hyperlink>
    </w:p>
    <w:p w14:paraId="568313F5" w14:textId="3A9A9BB2" w:rsidR="00281E97" w:rsidRDefault="00A253FF">
      <w:pPr>
        <w:pStyle w:val="BodyText"/>
        <w:numPr>
          <w:ilvl w:val="0"/>
          <w:numId w:val="2"/>
        </w:numPr>
        <w:shd w:val="clear" w:color="auto" w:fill="auto"/>
        <w:tabs>
          <w:tab w:val="left" w:pos="568"/>
        </w:tabs>
        <w:ind w:left="580" w:hanging="580"/>
      </w:pPr>
      <w:r>
        <w:t>Neodvisnost, nepristranskost in učinkovito delovanje tožilcev so odvisni od številnih pomembnih dejavnikov in prvin, vključno s kadrovsko politiko državnih tožilstev. Sistem kazenskega pravosodja v Evropi ni enoten. V različnih pravnih kulturah so ukoreninjeni različni sistemi, zato ni enotnega modela za vse države</w:t>
      </w:r>
      <w:hyperlink w:anchor="bookmark1" w:tooltip="Trenutni dokument">
        <w:r>
          <w:t>.</w:t>
        </w:r>
        <w:r>
          <w:rPr>
            <w:vertAlign w:val="superscript"/>
            <w:lang w:val="en-US" w:eastAsia="en-US" w:bidi="en-US"/>
          </w:rPr>
          <w:footnoteReference w:id="2"/>
        </w:r>
        <w:r>
          <w:t xml:space="preserve"> </w:t>
        </w:r>
      </w:hyperlink>
      <w:r>
        <w:t>Kljub temu lahko raznolikost</w:t>
      </w:r>
      <w:hyperlink w:anchor="bookmark2" w:tooltip="Trenutni dokument">
        <w:r>
          <w:rPr>
            <w:vertAlign w:val="superscript"/>
            <w:lang w:val="en-US" w:eastAsia="en-US" w:bidi="en-US"/>
          </w:rPr>
          <w:footnoteReference w:id="3"/>
        </w:r>
        <w:r>
          <w:t xml:space="preserve"> </w:t>
        </w:r>
      </w:hyperlink>
      <w:r>
        <w:t>in vključenost</w:t>
      </w:r>
      <w:hyperlink w:anchor="bookmark3" w:tooltip="Trenutni dokument">
        <w:r>
          <w:rPr>
            <w:vertAlign w:val="superscript"/>
            <w:lang w:val="en-US" w:eastAsia="en-US" w:bidi="en-US"/>
          </w:rPr>
          <w:footnoteReference w:id="4"/>
        </w:r>
        <w:r>
          <w:t xml:space="preserve"> </w:t>
        </w:r>
      </w:hyperlink>
      <w:r>
        <w:t>v državnih tožilstvih predstavljata pomembno dodano vrednost za zagotavljanje pravičnega in nepristranskega pravosodja.</w:t>
      </w:r>
    </w:p>
    <w:p w14:paraId="7DA17AD6" w14:textId="77777777" w:rsidR="00281E97" w:rsidRDefault="00A253FF">
      <w:pPr>
        <w:pStyle w:val="BodyText"/>
        <w:numPr>
          <w:ilvl w:val="0"/>
          <w:numId w:val="2"/>
        </w:numPr>
        <w:shd w:val="clear" w:color="auto" w:fill="auto"/>
        <w:tabs>
          <w:tab w:val="left" w:pos="568"/>
        </w:tabs>
        <w:ind w:left="580" w:hanging="580"/>
      </w:pPr>
      <w:r>
        <w:t xml:space="preserve">Potreba po poudarku na raznolikosti izhaja tako iz kompleksne strukture sodobne družbe kot iz koristi, ki jih prinaša odsev te raznolikosti v sestavi državnih tožilstev, enako kot pri drugih javnih organih. </w:t>
      </w:r>
      <w:r>
        <w:t>Različna ozadja, izkušnje in vidiki tožilcev so lahko koristni za postopek odločanja ter lahko prispevajo k večjemu zaupanju javnosti v pravosodni sistem.</w:t>
      </w:r>
    </w:p>
    <w:p w14:paraId="36F265F8" w14:textId="77777777" w:rsidR="00281E97" w:rsidRDefault="00A253FF">
      <w:pPr>
        <w:pStyle w:val="BodyText"/>
        <w:numPr>
          <w:ilvl w:val="0"/>
          <w:numId w:val="2"/>
        </w:numPr>
        <w:shd w:val="clear" w:color="auto" w:fill="auto"/>
        <w:tabs>
          <w:tab w:val="left" w:pos="568"/>
        </w:tabs>
        <w:ind w:left="580" w:hanging="580"/>
      </w:pPr>
      <w:r>
        <w:t xml:space="preserve">Načelo prepovedi diskriminacije, določeno v Evropski konvenciji o človekovih pravicah (EKČP), </w:t>
      </w:r>
      <w:hyperlink w:anchor="bookmark4" w:tooltip="Trenutni dokument">
        <w:r>
          <w:rPr>
            <w:vertAlign w:val="superscript"/>
            <w:lang w:val="en-US" w:eastAsia="en-US" w:bidi="en-US"/>
          </w:rPr>
          <w:footnoteReference w:id="5"/>
        </w:r>
        <w:r>
          <w:t xml:space="preserve"> </w:t>
        </w:r>
      </w:hyperlink>
      <w:r>
        <w:t>zagotavlja temelj za obravnavo konceptov raznolikosti in vključenosti. Trdni in verodostojni ukrepi za preprečevanje diskriminacije so bistvenega pomena za doseganje raznolikega in vključujočega državnega tožilstva. Stopnja raznolikosti in vključenosti v državnem tožilstvu je zato lahko pokazatelj njegove učinkovitosti pri preprečevanju diskriminacije.</w:t>
      </w:r>
    </w:p>
    <w:p w14:paraId="0C3EA93F" w14:textId="77777777" w:rsidR="00281E97" w:rsidRDefault="00A253FF">
      <w:pPr>
        <w:pStyle w:val="BodyText"/>
        <w:numPr>
          <w:ilvl w:val="0"/>
          <w:numId w:val="2"/>
        </w:numPr>
        <w:shd w:val="clear" w:color="auto" w:fill="auto"/>
        <w:tabs>
          <w:tab w:val="left" w:pos="557"/>
        </w:tabs>
        <w:ind w:left="580" w:hanging="580"/>
      </w:pPr>
      <w:r>
        <w:t xml:space="preserve">Mnenje ustrezno upošteva Priporočilo </w:t>
      </w:r>
      <w:proofErr w:type="spellStart"/>
      <w:r>
        <w:t>Rec</w:t>
      </w:r>
      <w:proofErr w:type="spellEnd"/>
      <w:r>
        <w:t xml:space="preserve">(2000)19 Odbora ministrov Sveta Evrope o vlogi državnega tožilstva v kazenskem pravosodnem sistemu, Priporočilo </w:t>
      </w:r>
      <w:proofErr w:type="spellStart"/>
      <w:r>
        <w:t>Rec</w:t>
      </w:r>
      <w:proofErr w:type="spellEnd"/>
      <w:r>
        <w:t xml:space="preserve">(2012)11 Odbora ministrov o vlogi državnih tožilcev izven kazenskega pravosodnega sistema ter prejšnja mnenja CCPE, zlasti Mnenje št. 7 (2012) o upravljanju sredstev tožilstev, Mnenje </w:t>
      </w:r>
      <w:r>
        <w:lastRenderedPageBreak/>
        <w:t>št. 9 (2014) o evropskih normah in načelih za tožilce, vključno z Rimsko listino, ter Mnenje št. 13 (2018) o neodvisnosti, odgovornosti in etiki tožilcev.</w:t>
      </w:r>
    </w:p>
    <w:p w14:paraId="5AEF9AAB" w14:textId="77777777" w:rsidR="00281E97" w:rsidRDefault="00A253FF">
      <w:pPr>
        <w:pStyle w:val="BodyText"/>
        <w:numPr>
          <w:ilvl w:val="0"/>
          <w:numId w:val="2"/>
        </w:numPr>
        <w:shd w:val="clear" w:color="auto" w:fill="auto"/>
        <w:tabs>
          <w:tab w:val="left" w:pos="557"/>
        </w:tabs>
        <w:ind w:left="580" w:hanging="580"/>
      </w:pPr>
      <w:r>
        <w:t>Mnenje upošteva tudi Strategijo Sveta Evrope za enakost spolov za obdobje 2024–2029 ter ustrezne instrumente Usmerjevalnega odbora Sveta Evrope za boj proti diskriminaciji, raznolikost in vključenost (CDADI), Evropske komisije za demokracijo skozi pravo (Beneška komisija), Komisije Sveta Evrope za učinkovitost pravosodja (CEPEJ) in Evropskega odbora za pravno sodelovanje (CDCJ). Mnenje upošteva tudi odgovore članov CCPE na vprašalnik o raznolikosti in vključenosti v državnih tožilstvih.</w:t>
      </w:r>
    </w:p>
    <w:p w14:paraId="350D8895" w14:textId="77777777" w:rsidR="00281E97" w:rsidRDefault="00A253FF">
      <w:pPr>
        <w:pStyle w:val="BodyText"/>
        <w:numPr>
          <w:ilvl w:val="0"/>
          <w:numId w:val="2"/>
        </w:numPr>
        <w:shd w:val="clear" w:color="auto" w:fill="auto"/>
        <w:tabs>
          <w:tab w:val="left" w:pos="557"/>
        </w:tabs>
        <w:ind w:left="580" w:hanging="580"/>
      </w:pPr>
      <w:r>
        <w:t xml:space="preserve">CCPE se zahvaljuje strokovnjaku, ki ga je imenoval Svet Evrope, gospodu </w:t>
      </w:r>
      <w:proofErr w:type="spellStart"/>
      <w:r>
        <w:t>Niallu</w:t>
      </w:r>
      <w:proofErr w:type="spellEnd"/>
      <w:r>
        <w:t xml:space="preserve"> </w:t>
      </w:r>
      <w:proofErr w:type="spellStart"/>
      <w:r>
        <w:t>Crowleyju</w:t>
      </w:r>
      <w:proofErr w:type="spellEnd"/>
      <w:r>
        <w:t xml:space="preserve"> (Irska), za pripravo osnutka tega mnenja ter za njegov pomemben prispevek k pripravi njegovega končnega besedila.</w:t>
      </w:r>
    </w:p>
    <w:p w14:paraId="633D9CA2" w14:textId="77777777" w:rsidR="00281E97" w:rsidRDefault="00A253FF">
      <w:pPr>
        <w:pStyle w:val="Heading20"/>
        <w:keepNext/>
        <w:keepLines/>
        <w:numPr>
          <w:ilvl w:val="0"/>
          <w:numId w:val="1"/>
        </w:numPr>
        <w:shd w:val="clear" w:color="auto" w:fill="auto"/>
        <w:tabs>
          <w:tab w:val="left" w:pos="370"/>
        </w:tabs>
        <w:ind w:left="580" w:hanging="580"/>
      </w:pPr>
      <w:bookmarkStart w:id="7" w:name="bookmark18"/>
      <w:r>
        <w:t>Namen in področje uporabe mnenja</w:t>
      </w:r>
      <w:bookmarkEnd w:id="7"/>
    </w:p>
    <w:p w14:paraId="0E3EE44C" w14:textId="77777777" w:rsidR="00CA314C" w:rsidRDefault="00A253FF" w:rsidP="00CA314C">
      <w:pPr>
        <w:pStyle w:val="BodyText"/>
        <w:numPr>
          <w:ilvl w:val="0"/>
          <w:numId w:val="2"/>
        </w:numPr>
        <w:shd w:val="clear" w:color="auto" w:fill="auto"/>
        <w:tabs>
          <w:tab w:val="left" w:pos="557"/>
        </w:tabs>
        <w:spacing w:after="0"/>
        <w:ind w:left="580" w:hanging="580"/>
      </w:pPr>
      <w:r>
        <w:t xml:space="preserve">CCPE je poudaril, da morata biti zaposlovanje in napredovanje tožilcev </w:t>
      </w:r>
      <w:r>
        <w:t xml:space="preserve">izvedena na podlagi znanja kandidatov, njihovih zaslug, integritete, etičnih </w:t>
      </w:r>
      <w:r>
        <w:t>vrednot in drugih objektivnih meril ter morata potekati brez kakršnekoli diskriminacije. Zato mora spodbujanje raznolikosti in vključenosti dopolnjevati, ne pa zmanjševati, pomen strokovne usposobljenosti tožilcev. Izogibati se je treba zaposlovanju in napredovanju, ki temeljita na preširoki diskrecijski pravici, sta deležna političnega vpliva ali potekata izven vnaprej določenih in preglednih postopkov</w:t>
      </w:r>
      <w:hyperlink w:anchor="bookmark5" w:tooltip="Trenutni dokument">
        <w:r>
          <w:t>.</w:t>
        </w:r>
        <w:r>
          <w:rPr>
            <w:vertAlign w:val="superscript"/>
            <w:lang w:val="en-US" w:eastAsia="en-US" w:bidi="en-US"/>
          </w:rPr>
          <w:footnoteReference w:id="6"/>
        </w:r>
        <w:r>
          <w:t xml:space="preserve"> </w:t>
        </w:r>
      </w:hyperlink>
      <w:r>
        <w:t>Takšni postopki morajo biti urejeni z zakonom, v skladu z nepristranskimi postopki ter z zagotovljeno možnostjo nepristranskega nadzora</w:t>
      </w:r>
      <w:hyperlink w:anchor="bookmark6" w:tooltip="Trenutni dokument">
        <w:r>
          <w:t>.</w:t>
        </w:r>
        <w:r>
          <w:rPr>
            <w:vertAlign w:val="superscript"/>
            <w:lang w:val="en-US" w:eastAsia="en-US" w:bidi="en-US"/>
          </w:rPr>
          <w:footnoteReference w:id="7"/>
        </w:r>
      </w:hyperlink>
    </w:p>
    <w:p w14:paraId="40C43318" w14:textId="77777777" w:rsidR="00CA314C" w:rsidRDefault="00CA314C" w:rsidP="00CA314C">
      <w:pPr>
        <w:pStyle w:val="BodyText"/>
        <w:shd w:val="clear" w:color="auto" w:fill="auto"/>
        <w:tabs>
          <w:tab w:val="left" w:pos="557"/>
        </w:tabs>
        <w:spacing w:after="0"/>
      </w:pPr>
    </w:p>
    <w:p w14:paraId="35DD6602" w14:textId="1DC8F0A2" w:rsidR="00281E97" w:rsidRDefault="00A253FF" w:rsidP="00CA314C">
      <w:pPr>
        <w:pStyle w:val="BodyText"/>
        <w:numPr>
          <w:ilvl w:val="0"/>
          <w:numId w:val="2"/>
        </w:numPr>
        <w:shd w:val="clear" w:color="auto" w:fill="auto"/>
        <w:tabs>
          <w:tab w:val="left" w:pos="557"/>
        </w:tabs>
        <w:spacing w:after="0"/>
        <w:ind w:left="580" w:hanging="580"/>
      </w:pPr>
      <w:r>
        <w:t>V kontekstu kadrovske politike državnih tožilstev je osrednji namen tega mnenja spodbuditi odprt pristop, ki zajema raznolikost in vključenost ter preprečuje morebitno izključevanje manjšin ali posameznih družbenih skupin. Mnenje želi prispevati k razumevanju raznolikosti in vključenosti ter njunega praktičnega pomena za kadrovsko politiko, obenem pa ponazarja koristi raznolikosti in vključenosti za učinkovitost državnih tožilstev.</w:t>
      </w:r>
    </w:p>
    <w:p w14:paraId="156CC3FB" w14:textId="77777777" w:rsidR="00CA314C" w:rsidRDefault="00CA314C" w:rsidP="00CA314C">
      <w:pPr>
        <w:pStyle w:val="BodyText"/>
        <w:shd w:val="clear" w:color="auto" w:fill="auto"/>
        <w:tabs>
          <w:tab w:val="left" w:pos="557"/>
        </w:tabs>
        <w:spacing w:after="0"/>
      </w:pPr>
    </w:p>
    <w:p w14:paraId="099F2E46" w14:textId="3352AE52" w:rsidR="00281E97" w:rsidRDefault="00A253FF">
      <w:pPr>
        <w:pStyle w:val="BodyText"/>
        <w:numPr>
          <w:ilvl w:val="0"/>
          <w:numId w:val="2"/>
        </w:numPr>
        <w:shd w:val="clear" w:color="auto" w:fill="auto"/>
        <w:tabs>
          <w:tab w:val="left" w:pos="548"/>
        </w:tabs>
        <w:spacing w:after="260"/>
        <w:ind w:left="580" w:hanging="580"/>
      </w:pPr>
      <w:r>
        <w:t xml:space="preserve">Tožilcem morajo biti zagotovljena ustrezna sredstva za učinkovito izvajanje </w:t>
      </w:r>
      <w:r>
        <w:t>poslanstva, ki je temeljnega pomena za delovanje pravne države</w:t>
      </w:r>
      <w:hyperlink w:anchor="bookmark7" w:tooltip="Trenutni dokument">
        <w:r>
          <w:t>.</w:t>
        </w:r>
        <w:r>
          <w:rPr>
            <w:vertAlign w:val="superscript"/>
            <w:lang w:val="en-US" w:eastAsia="en-US" w:bidi="en-US"/>
          </w:rPr>
          <w:footnoteReference w:id="8"/>
        </w:r>
        <w:r>
          <w:t xml:space="preserve"> </w:t>
        </w:r>
      </w:hyperlink>
      <w:r>
        <w:t>Kadrovski vidik je eden od ključnih delov pravnega in organizacijskega okvira, ki ga je treba vzpostaviti, da lahko tožilci izpolnjujejo svoje poklicne dolžnosti in odgovornosti</w:t>
      </w:r>
      <w:hyperlink w:anchor="bookmark8" w:tooltip="Trenutni dokument">
        <w:r>
          <w:t>.</w:t>
        </w:r>
        <w:r>
          <w:rPr>
            <w:vertAlign w:val="superscript"/>
            <w:lang w:val="en-US" w:eastAsia="en-US" w:bidi="en-US"/>
          </w:rPr>
          <w:footnoteReference w:id="9"/>
        </w:r>
      </w:hyperlink>
    </w:p>
    <w:p w14:paraId="3ABEFB36" w14:textId="77777777" w:rsidR="00281E97" w:rsidRDefault="00A253FF">
      <w:pPr>
        <w:pStyle w:val="BodyText"/>
        <w:numPr>
          <w:ilvl w:val="0"/>
          <w:numId w:val="2"/>
        </w:numPr>
        <w:shd w:val="clear" w:color="auto" w:fill="auto"/>
        <w:tabs>
          <w:tab w:val="left" w:pos="548"/>
        </w:tabs>
        <w:spacing w:after="260"/>
        <w:ind w:left="580" w:hanging="580"/>
      </w:pPr>
      <w:r>
        <w:t xml:space="preserve">V tem kontekstu mnenje najprej obravnava notranji vidik raznolikosti in vključenosti v državnih tožilstvih. Večja raznolikost in vključenost med tožilci lahko prispevata k boljšemu razumevanju različnih položajev in okoliščin oseb z različnimi ozadji. Odločitve bi tako lahko imele koristi od širšega nabora izkušenj in vidikov, kar bi pripomoglo k boljšemu upoštevanju razlik med družbenimi skupinami, vključno s tistimi, ki se soočajo </w:t>
      </w:r>
      <w:r>
        <w:lastRenderedPageBreak/>
        <w:t>z neenakostjo. Poleg tega prisotnost tožilcev z različnimi ozadji in izkušnjami lahko izboljša strokovne razprave in medsebojno sodelovanje med tožilci. To je v praksi lahko pomembno za preprečevanje tveganja skupinskega mišljenja, ki se lahko pojavi zaradi pomanjkanja raznolikosti.</w:t>
      </w:r>
    </w:p>
    <w:p w14:paraId="4BB820E8" w14:textId="77777777" w:rsidR="00281E97" w:rsidRDefault="00A253FF">
      <w:pPr>
        <w:pStyle w:val="BodyText"/>
        <w:numPr>
          <w:ilvl w:val="0"/>
          <w:numId w:val="2"/>
        </w:numPr>
        <w:shd w:val="clear" w:color="auto" w:fill="auto"/>
        <w:tabs>
          <w:tab w:val="left" w:pos="548"/>
        </w:tabs>
        <w:spacing w:after="260"/>
        <w:ind w:left="580" w:hanging="580"/>
      </w:pPr>
      <w:r>
        <w:t>CCPE želi v tem pogledu spomniti na splošno načelo proste presoje držav, ki ga je razvilo Evropsko sodišče za človekove pravice. To načelo državam članicam priznava določeno stopnjo proste presoje pri odločanju na področjih, ki jih zajema Evropska konvencija o človekovih pravicah. To velja tudi za ukrepe za odpravljanje diskriminacije, ki so povezani s spodbujanjem raznolikosti in vključenosti. Učinkovito delovanje državnih tožilstev zahteva usklajevanje številnih prvin in potreb, pri čemer strokovna usposo</w:t>
      </w:r>
      <w:r>
        <w:t>bljenost tožilcev ostaja temeljna zahteva, hkrati pa je treba upoštevati razlike med pravnimi sistemi in kulturami. Zato CCPE poudarja pomen praktičnega pristopa, ki je hkrati v skladu s sodno prakso Evropskega sodišča za človekove pravice.</w:t>
      </w:r>
    </w:p>
    <w:p w14:paraId="71D33966" w14:textId="77777777" w:rsidR="00281E97" w:rsidRDefault="00A253FF">
      <w:pPr>
        <w:pStyle w:val="BodyText"/>
        <w:numPr>
          <w:ilvl w:val="0"/>
          <w:numId w:val="2"/>
        </w:numPr>
        <w:shd w:val="clear" w:color="auto" w:fill="auto"/>
        <w:tabs>
          <w:tab w:val="left" w:pos="548"/>
        </w:tabs>
        <w:spacing w:after="260"/>
        <w:ind w:left="580" w:hanging="580"/>
      </w:pPr>
      <w:r>
        <w:t>Raznolikost in vključenost imata tudi zunanjo razsežnost, saj lahko okrepita zaupanje v državno tožilstvo s tem, da bolje odražata družbeno raznolikost. Vrednote, vidiki in izkušnje udeležencev v postopkih se lahko pogosto v precejšnji meri razlikujejo od tistih, ki jih imajo tožilci. Večja usklajenost na tem področju lahko zmanjša zaznano vrzel med tožilci in udeleženci v postopkih ter pozitivno vpliva na delovanje državnega tožilstva.</w:t>
      </w:r>
    </w:p>
    <w:p w14:paraId="4F4DE515" w14:textId="77777777" w:rsidR="00281E97" w:rsidRDefault="00A253FF">
      <w:pPr>
        <w:pStyle w:val="BodyText"/>
        <w:numPr>
          <w:ilvl w:val="0"/>
          <w:numId w:val="2"/>
        </w:numPr>
        <w:shd w:val="clear" w:color="auto" w:fill="auto"/>
        <w:tabs>
          <w:tab w:val="left" w:pos="548"/>
        </w:tabs>
        <w:spacing w:after="260"/>
        <w:ind w:left="580" w:hanging="580"/>
      </w:pPr>
      <w:r>
        <w:t>Mnenje poudarja tudi pomen proaktivnega vključevanja načel raznolikosti in vključenosti v sisteme izobraževanja in usposabljanja ter pomen ozaveščanja o kariernih možnosti v državnem tožilstvu, da bi spodbudili prijavo ustrezno usposobljenih kandidatov iz različnih okolij.</w:t>
      </w:r>
    </w:p>
    <w:p w14:paraId="7A5A272C" w14:textId="77777777" w:rsidR="00281E97" w:rsidRDefault="00A253FF">
      <w:pPr>
        <w:pStyle w:val="BodyText"/>
        <w:numPr>
          <w:ilvl w:val="0"/>
          <w:numId w:val="2"/>
        </w:numPr>
        <w:shd w:val="clear" w:color="auto" w:fill="auto"/>
        <w:tabs>
          <w:tab w:val="left" w:pos="548"/>
        </w:tabs>
        <w:spacing w:after="260"/>
        <w:ind w:left="580" w:hanging="580"/>
      </w:pPr>
      <w:r>
        <w:t>Ker se to mnenje nanaša na državna tožilstva, je treba njegove določbe ustrezno uporabljati ne le za tožilce, temveč tudi za drugo osebje, ki dela v državnih tožilstvih.</w:t>
      </w:r>
    </w:p>
    <w:p w14:paraId="6F9DCD4D" w14:textId="77777777" w:rsidR="00281E97" w:rsidRDefault="00A253FF">
      <w:pPr>
        <w:pStyle w:val="Heading20"/>
        <w:keepNext/>
        <w:keepLines/>
        <w:numPr>
          <w:ilvl w:val="0"/>
          <w:numId w:val="1"/>
        </w:numPr>
        <w:shd w:val="clear" w:color="auto" w:fill="auto"/>
        <w:tabs>
          <w:tab w:val="left" w:pos="550"/>
        </w:tabs>
        <w:spacing w:after="160"/>
      </w:pPr>
      <w:bookmarkStart w:id="12" w:name="bookmark19"/>
      <w:r>
        <w:t>Zakonodaja in predpisi za spodbujanje raznolikosti in vključenosti v državnih tožilstvih</w:t>
      </w:r>
      <w:bookmarkEnd w:id="12"/>
    </w:p>
    <w:p w14:paraId="13D9E8CE" w14:textId="77777777" w:rsidR="00281E97" w:rsidRDefault="00A253FF">
      <w:pPr>
        <w:pStyle w:val="BodyText"/>
        <w:numPr>
          <w:ilvl w:val="0"/>
          <w:numId w:val="2"/>
        </w:numPr>
        <w:shd w:val="clear" w:color="auto" w:fill="auto"/>
        <w:tabs>
          <w:tab w:val="left" w:pos="550"/>
        </w:tabs>
        <w:ind w:left="580" w:hanging="580"/>
      </w:pPr>
      <w:r>
        <w:t>CCPE se zaveda osrednjega pomena načela meritornosti, to je sposobnosti in ustrezne usposobljenosti, pri imenovanju in poklicnem napredovanju vseh tožilcev in osebja v državnih tožilstvih. Hkrati priznava, da morajo biti ta strokovna merila utemeljena na načelih raznolikosti in vključenosti ter z njimi tudi omogočena.</w:t>
      </w:r>
    </w:p>
    <w:p w14:paraId="29C4D49E" w14:textId="77777777" w:rsidR="00281E97" w:rsidRDefault="00A253FF">
      <w:pPr>
        <w:pStyle w:val="BodyText"/>
        <w:numPr>
          <w:ilvl w:val="0"/>
          <w:numId w:val="2"/>
        </w:numPr>
        <w:shd w:val="clear" w:color="auto" w:fill="auto"/>
        <w:tabs>
          <w:tab w:val="left" w:pos="550"/>
        </w:tabs>
        <w:ind w:left="580" w:hanging="580"/>
      </w:pPr>
      <w:r>
        <w:t>Zakonodaja, predpisi in ustavne določbe o enakosti se uporabljajo za državna tožilstva na vseh ravneh. Čeprav se lahko podrobnosti in obseg teh določb med jurisdikcijami razlikujejo, se lahko nanašajo tako na področje zaposlovanja kot tudi na širše funkcije državnih tožilstev.</w:t>
      </w:r>
    </w:p>
    <w:p w14:paraId="7F1D8A8F" w14:textId="77777777" w:rsidR="00281E97" w:rsidRDefault="00A253FF">
      <w:pPr>
        <w:pStyle w:val="BodyText"/>
        <w:numPr>
          <w:ilvl w:val="0"/>
          <w:numId w:val="2"/>
        </w:numPr>
        <w:shd w:val="clear" w:color="auto" w:fill="auto"/>
        <w:tabs>
          <w:tab w:val="left" w:pos="550"/>
        </w:tabs>
        <w:ind w:left="580" w:hanging="580"/>
      </w:pPr>
      <w:r>
        <w:t>Zakonodaja o enakosti uveljavlja načela pravičnosti in dobrobiti v državnih tožilstvih, in sicer pri zaposlovanju, izbiri kandidatov, plači, delovnih pogojih, usposabljanju, možnostih poklicnega razvoja, napredovanju, delovnem okolju ter pri izvajanju storitev in v okolju, v katerem se te storitve zagotavljajo.</w:t>
      </w:r>
    </w:p>
    <w:p w14:paraId="2B5995FF" w14:textId="77777777" w:rsidR="00281E97" w:rsidRDefault="00A253FF">
      <w:pPr>
        <w:pStyle w:val="BodyText"/>
        <w:numPr>
          <w:ilvl w:val="0"/>
          <w:numId w:val="2"/>
        </w:numPr>
        <w:shd w:val="clear" w:color="auto" w:fill="auto"/>
        <w:tabs>
          <w:tab w:val="left" w:pos="550"/>
        </w:tabs>
        <w:ind w:left="580" w:hanging="580"/>
      </w:pPr>
      <w:r>
        <w:t xml:space="preserve">Ta zakonodaja uresničuje načelo pravičnosti tako, da od državnih tožilstev zahteva, da </w:t>
      </w:r>
      <w:r>
        <w:lastRenderedPageBreak/>
        <w:t>ne diskriminirajo, kar zlasti vključuje prepoved neposredne</w:t>
      </w:r>
      <w:hyperlink w:anchor="bookmark9" w:tooltip="Trenutni dokument">
        <w:r>
          <w:rPr>
            <w:vertAlign w:val="superscript"/>
            <w:lang w:val="en-US" w:eastAsia="en-US" w:bidi="en-US"/>
          </w:rPr>
          <w:footnoteReference w:id="10"/>
        </w:r>
        <w:r>
          <w:t xml:space="preserve"> </w:t>
        </w:r>
      </w:hyperlink>
      <w:r>
        <w:t>in posredne diskriminacije</w:t>
      </w:r>
      <w:hyperlink w:anchor="bookmark10" w:tooltip="Trenutni dokument">
        <w:r>
          <w:t>.</w:t>
        </w:r>
        <w:r>
          <w:rPr>
            <w:vertAlign w:val="superscript"/>
            <w:lang w:val="en-US" w:eastAsia="en-US" w:bidi="en-US"/>
          </w:rPr>
          <w:footnoteReference w:id="11"/>
        </w:r>
      </w:hyperlink>
    </w:p>
    <w:p w14:paraId="26DC2FD4" w14:textId="77777777" w:rsidR="00281E97" w:rsidRDefault="00A253FF">
      <w:pPr>
        <w:pStyle w:val="BodyText"/>
        <w:numPr>
          <w:ilvl w:val="0"/>
          <w:numId w:val="2"/>
        </w:numPr>
        <w:shd w:val="clear" w:color="auto" w:fill="auto"/>
        <w:tabs>
          <w:tab w:val="left" w:pos="550"/>
        </w:tabs>
        <w:ind w:left="580" w:hanging="580"/>
      </w:pPr>
      <w:r>
        <w:t xml:space="preserve">CCPE priznava tveganja pristranskosti, ki se lahko pojavljajo v vsebinah, ustvarjenih z umetno inteligenco (UI), vključno s sistemi strojnega učenja, globokega učenja in drugimi modeli za generiranje podatkov. Čeprav lahko zakonodaja s področja enakosti ta tveganja deloma naslovi, pa ostajajo dodatni izzivi, saj lahko UI ponavlja obstoječe pristranskosti z izkoriščanjem pravnih vrzeli. Nekatere oblike diskriminacije so lahko etično sporne, ne da bi nujno pomenile pravno kršitev. Hitro razvijajoča se narava </w:t>
      </w:r>
      <w:r>
        <w:t>UI pa pomeni tveganje, da zakonodaja ne bo sledila njenemu razvoju. Zato je treba poudariti pomen dopolnitve zakonodaje o enakosti s posebnimi etičnimi standardi in regulativnimi okviri za UI, da bi zagotovili tako pravno kot etično zaščito pred pristranskostjo in diskriminacijo</w:t>
      </w:r>
      <w:hyperlink w:anchor="bookmark11" w:tooltip="Trenutni dokument">
        <w:r>
          <w:t>.</w:t>
        </w:r>
        <w:r>
          <w:rPr>
            <w:vertAlign w:val="superscript"/>
            <w:lang w:val="en-US" w:eastAsia="en-US" w:bidi="en-US"/>
          </w:rPr>
          <w:footnoteReference w:id="12"/>
        </w:r>
      </w:hyperlink>
    </w:p>
    <w:p w14:paraId="6823A9D6" w14:textId="77777777" w:rsidR="00281E97" w:rsidRDefault="00A253FF">
      <w:pPr>
        <w:pStyle w:val="BodyText"/>
        <w:numPr>
          <w:ilvl w:val="0"/>
          <w:numId w:val="2"/>
        </w:numPr>
        <w:shd w:val="clear" w:color="auto" w:fill="auto"/>
        <w:tabs>
          <w:tab w:val="left" w:pos="550"/>
        </w:tabs>
        <w:ind w:left="580" w:hanging="580"/>
      </w:pPr>
      <w:r>
        <w:t>S prepovedjo nadlegovanja, vključno s spolnim nadlegovanjem, ter z zahtevo, da organizacije, tudi državna tožilstva, sprejmejo ukrepe za preprečevanje takšnega ravnanja in zagotovijo pravna sredstva, kadar do njega pride, zakonodaja o enakosti prispeva k profesionalnemu dobremu počutju.</w:t>
      </w:r>
    </w:p>
    <w:p w14:paraId="3B375E12" w14:textId="77777777" w:rsidR="00281E97" w:rsidRDefault="00A253FF">
      <w:pPr>
        <w:pStyle w:val="BodyText"/>
        <w:numPr>
          <w:ilvl w:val="0"/>
          <w:numId w:val="2"/>
        </w:numPr>
        <w:shd w:val="clear" w:color="auto" w:fill="auto"/>
        <w:tabs>
          <w:tab w:val="left" w:pos="550"/>
        </w:tabs>
        <w:ind w:left="580" w:hanging="580"/>
      </w:pPr>
      <w:r>
        <w:t>Čeprav izraz raznolikost ni izrecno omenjen, varovane osebne okoliščine v zakonodaji o enakosti dajejo temu konceptu konkreten in uporaben pomen ter odražajo njegovo širino. Varovane osebne okoliščine so v državah članicah osrednje izhodišče pri obravnavi raznolikost</w:t>
      </w:r>
      <w:hyperlink w:anchor="bookmark12" w:tooltip="Trenutni dokument">
        <w:r>
          <w:t>.</w:t>
        </w:r>
        <w:r>
          <w:rPr>
            <w:vertAlign w:val="superscript"/>
          </w:rPr>
          <w:footnoteReference w:id="13"/>
        </w:r>
      </w:hyperlink>
    </w:p>
    <w:p w14:paraId="56209E85" w14:textId="77777777" w:rsidR="00281E97" w:rsidRDefault="00A253FF">
      <w:pPr>
        <w:pStyle w:val="BodyText"/>
        <w:numPr>
          <w:ilvl w:val="0"/>
          <w:numId w:val="2"/>
        </w:numPr>
        <w:shd w:val="clear" w:color="auto" w:fill="auto"/>
        <w:tabs>
          <w:tab w:val="left" w:pos="566"/>
        </w:tabs>
        <w:ind w:left="580" w:hanging="580"/>
      </w:pPr>
      <w:r>
        <w:t>Vključenost je zagotovljena tam, kjer določbe zahtevajo ali omogočajo, da se priložnosti na delovnem mestu, zagotavljanje storitev in njihovi rezultati omogočijo ali zagotovijo za raznolike skupine ljudi. Pri zagotavljanju vključenosti se pri zaposlovanju in napredovanju še vedno ohranjajo objektivna in nujna strokovna merila.</w:t>
      </w:r>
    </w:p>
    <w:p w14:paraId="3C6E472F" w14:textId="77777777" w:rsidR="00281E97" w:rsidRDefault="00A253FF">
      <w:pPr>
        <w:pStyle w:val="BodyText"/>
        <w:numPr>
          <w:ilvl w:val="0"/>
          <w:numId w:val="2"/>
        </w:numPr>
        <w:shd w:val="clear" w:color="auto" w:fill="auto"/>
        <w:tabs>
          <w:tab w:val="left" w:pos="566"/>
        </w:tabs>
        <w:ind w:left="580" w:hanging="580"/>
      </w:pPr>
      <w:r>
        <w:t>Določbe, s katerimi se uresničuje neposredna vključenost, lahko v različnih državah temeljijo na različnih izhodiščih, odvisno od nacionalnega pravnega sistema. Primer za to je osebna okoliščina invalidnosti, kjer se praktične posledice takšne raznolikosti odražajo v določbah zakonodaje o enakosti v zvezi z razumnim prilagajanjem</w:t>
      </w:r>
      <w:hyperlink w:anchor="bookmark13" w:tooltip="Trenutni dokument">
        <w:r>
          <w:t>.</w:t>
        </w:r>
        <w:r>
          <w:rPr>
            <w:vertAlign w:val="superscript"/>
          </w:rPr>
          <w:footnoteReference w:id="14"/>
        </w:r>
      </w:hyperlink>
    </w:p>
    <w:p w14:paraId="6DAD9B01" w14:textId="77777777" w:rsidR="00281E97" w:rsidRDefault="00A253FF">
      <w:pPr>
        <w:pStyle w:val="BodyText"/>
        <w:numPr>
          <w:ilvl w:val="0"/>
          <w:numId w:val="2"/>
        </w:numPr>
        <w:shd w:val="clear" w:color="auto" w:fill="auto"/>
        <w:tabs>
          <w:tab w:val="left" w:pos="566"/>
        </w:tabs>
        <w:ind w:left="580" w:hanging="580"/>
      </w:pPr>
      <w:r>
        <w:t xml:space="preserve">Takšne določbe lahko omogočijo dodatne ukrepe za odpravljanje neugodnega položaja, </w:t>
      </w:r>
      <w:r>
        <w:lastRenderedPageBreak/>
        <w:t>odstranjevanje posebnih ovir ter upoštevanje posebnih potreb vseh prizadetih skupin.</w:t>
      </w:r>
    </w:p>
    <w:p w14:paraId="382079C3" w14:textId="77777777" w:rsidR="00281E97" w:rsidRDefault="00A253FF">
      <w:pPr>
        <w:pStyle w:val="BodyText"/>
        <w:numPr>
          <w:ilvl w:val="0"/>
          <w:numId w:val="2"/>
        </w:numPr>
        <w:shd w:val="clear" w:color="auto" w:fill="auto"/>
        <w:tabs>
          <w:tab w:val="left" w:pos="566"/>
        </w:tabs>
        <w:ind w:left="580" w:hanging="580"/>
      </w:pPr>
      <w:r>
        <w:t>V številnih državah članicah zakonodaja o enakosti določa zakonske obveznosti na področju enakosti, ki od državnih tožilstev zahtevajo proaktiven pristop k uresničevanju načel raznolikosti in vključenosti. Te določbe vzpostavljajo okvir za načrtovan in sistematičen pristop k raznolikosti in vključenosti ter od državnih tožilstev zahtevajo izvajanje ukrepov, kot so:</w:t>
      </w:r>
    </w:p>
    <w:p w14:paraId="50EC062E" w14:textId="77777777" w:rsidR="00281E97" w:rsidRDefault="00A253FF">
      <w:pPr>
        <w:pStyle w:val="BodyText"/>
        <w:numPr>
          <w:ilvl w:val="0"/>
          <w:numId w:val="3"/>
        </w:numPr>
        <w:shd w:val="clear" w:color="auto" w:fill="auto"/>
        <w:tabs>
          <w:tab w:val="left" w:pos="1080"/>
        </w:tabs>
        <w:spacing w:after="0"/>
        <w:ind w:left="1080" w:hanging="360"/>
        <w:jc w:val="left"/>
      </w:pPr>
      <w:r>
        <w:t>imenovanje višjega uradnika, odgovornega za raznolikost in vključenost;</w:t>
      </w:r>
    </w:p>
    <w:p w14:paraId="09B5F279" w14:textId="77777777" w:rsidR="00281E97" w:rsidRDefault="00A253FF">
      <w:pPr>
        <w:pStyle w:val="BodyText"/>
        <w:numPr>
          <w:ilvl w:val="0"/>
          <w:numId w:val="3"/>
        </w:numPr>
        <w:shd w:val="clear" w:color="auto" w:fill="auto"/>
        <w:tabs>
          <w:tab w:val="left" w:pos="1080"/>
        </w:tabs>
        <w:spacing w:after="0"/>
        <w:ind w:left="1080" w:hanging="360"/>
        <w:jc w:val="left"/>
      </w:pPr>
      <w:r>
        <w:t>vzpostavljanje organizacijskih struktur, ki spodbujajo usmerjenost k</w:t>
      </w:r>
    </w:p>
    <w:p w14:paraId="2423C4AE" w14:textId="77777777" w:rsidR="00281E97" w:rsidRDefault="00A253FF">
      <w:pPr>
        <w:pStyle w:val="BodyText"/>
        <w:shd w:val="clear" w:color="auto" w:fill="auto"/>
        <w:spacing w:after="0"/>
        <w:ind w:left="1080"/>
      </w:pPr>
      <w:r>
        <w:t>raznolikosti in vključenosti ter omogočajo njuno uresničevanje v praksi;</w:t>
      </w:r>
    </w:p>
    <w:p w14:paraId="0B3D0DF2" w14:textId="77777777" w:rsidR="00281E97" w:rsidRDefault="00A253FF">
      <w:pPr>
        <w:pStyle w:val="BodyText"/>
        <w:numPr>
          <w:ilvl w:val="0"/>
          <w:numId w:val="3"/>
        </w:numPr>
        <w:shd w:val="clear" w:color="auto" w:fill="auto"/>
        <w:tabs>
          <w:tab w:val="left" w:pos="1080"/>
        </w:tabs>
        <w:spacing w:after="0"/>
        <w:ind w:left="1080" w:hanging="360"/>
        <w:jc w:val="left"/>
      </w:pPr>
      <w:r>
        <w:t>zagotavljanje usposabljanja za tožilce, da se okrepi institucionalna sposobnost obravnavanja vprašanj raznolikosti in vključenosti;</w:t>
      </w:r>
    </w:p>
    <w:p w14:paraId="404CC25F" w14:textId="77777777" w:rsidR="00281E97" w:rsidRDefault="00A253FF">
      <w:pPr>
        <w:pStyle w:val="BodyText"/>
        <w:numPr>
          <w:ilvl w:val="0"/>
          <w:numId w:val="3"/>
        </w:numPr>
        <w:shd w:val="clear" w:color="auto" w:fill="auto"/>
        <w:tabs>
          <w:tab w:val="left" w:pos="1080"/>
        </w:tabs>
        <w:spacing w:after="0"/>
        <w:ind w:left="1080" w:hanging="360"/>
        <w:jc w:val="left"/>
      </w:pPr>
      <w:r>
        <w:t>prepoznavanje in odstranjevanje ovir za vključenost ter odzivanje na posebne potrebe, ki izhajajo iz raznolikosti v okviru varovanih osebnih okoliščin;</w:t>
      </w:r>
    </w:p>
    <w:p w14:paraId="5BC99EF6" w14:textId="77777777" w:rsidR="00281E97" w:rsidRDefault="00A253FF">
      <w:pPr>
        <w:pStyle w:val="BodyText"/>
        <w:numPr>
          <w:ilvl w:val="0"/>
          <w:numId w:val="3"/>
        </w:numPr>
        <w:shd w:val="clear" w:color="auto" w:fill="auto"/>
        <w:tabs>
          <w:tab w:val="left" w:pos="1080"/>
        </w:tabs>
        <w:spacing w:after="0"/>
        <w:ind w:left="1080" w:hanging="360"/>
        <w:jc w:val="left"/>
      </w:pPr>
      <w:r>
        <w:t>sprejemanje ukrepov za zagotavljanje transparentnosti plač in odpravljanje ugotovljenih neenakosti;</w:t>
      </w:r>
    </w:p>
    <w:p w14:paraId="2B71FE38" w14:textId="552B409B" w:rsidR="00281E97" w:rsidRDefault="00A253FF" w:rsidP="00A253FF">
      <w:pPr>
        <w:pStyle w:val="BodyText"/>
        <w:numPr>
          <w:ilvl w:val="0"/>
          <w:numId w:val="3"/>
        </w:numPr>
        <w:shd w:val="clear" w:color="auto" w:fill="auto"/>
        <w:tabs>
          <w:tab w:val="left" w:pos="1080"/>
        </w:tabs>
        <w:spacing w:after="0"/>
        <w:ind w:left="1080" w:hanging="360"/>
        <w:jc w:val="left"/>
      </w:pPr>
      <w:r>
        <w:t xml:space="preserve">pregledovanje in naslavljanje vpliva, ki ga že v fazi priprave imajo odločitve, organizacijski načrti </w:t>
      </w:r>
      <w:r>
        <w:t>in politike na raznolikost in vključenost; in/ali</w:t>
      </w:r>
    </w:p>
    <w:p w14:paraId="4F3274E6" w14:textId="77777777" w:rsidR="00281E97" w:rsidRDefault="00A253FF">
      <w:pPr>
        <w:pStyle w:val="BodyText"/>
        <w:numPr>
          <w:ilvl w:val="0"/>
          <w:numId w:val="3"/>
        </w:numPr>
        <w:shd w:val="clear" w:color="auto" w:fill="auto"/>
        <w:tabs>
          <w:tab w:val="left" w:pos="1080"/>
        </w:tabs>
        <w:spacing w:after="0"/>
        <w:ind w:left="1080" w:hanging="360"/>
        <w:jc w:val="left"/>
      </w:pPr>
      <w:r>
        <w:t>izvajanje rednih pregledov in ocen stanja v organizaciji glede raznolikosti in</w:t>
      </w:r>
    </w:p>
    <w:p w14:paraId="5DBB6B21" w14:textId="77777777" w:rsidR="00281E97" w:rsidRDefault="00A253FF">
      <w:pPr>
        <w:pStyle w:val="BodyText"/>
        <w:shd w:val="clear" w:color="auto" w:fill="auto"/>
        <w:ind w:left="1080"/>
      </w:pPr>
      <w:r>
        <w:t>vključenosti ter priprava akcijskih načrtov za krepitev teh področij in za odpravo ugotovljenih vrzeli ter ovir, ugotovljenih v pregledih.</w:t>
      </w:r>
    </w:p>
    <w:p w14:paraId="7A09A714" w14:textId="77777777" w:rsidR="00281E97" w:rsidRDefault="00A253FF">
      <w:pPr>
        <w:pStyle w:val="BodyText"/>
        <w:numPr>
          <w:ilvl w:val="0"/>
          <w:numId w:val="2"/>
        </w:numPr>
        <w:shd w:val="clear" w:color="auto" w:fill="auto"/>
        <w:tabs>
          <w:tab w:val="left" w:pos="566"/>
        </w:tabs>
        <w:ind w:left="580" w:hanging="580"/>
      </w:pPr>
      <w:r>
        <w:t xml:space="preserve">CCPE meni, da zakonodaja o enakosti predstavlja temelj za uresničevanje njegove zavezanosti raznolikosti in vključenosti. </w:t>
      </w:r>
      <w:r>
        <w:t>Prav tako meni, da takšna zakonodaja državnim tožilstvom ponuja pozitivno priložnost, da s spodbudo in podporo delujejo proaktivno in zgledno pri njenem uresničevanju.</w:t>
      </w:r>
    </w:p>
    <w:p w14:paraId="5F5B9F27" w14:textId="77777777" w:rsidR="00281E97" w:rsidRDefault="00A253FF">
      <w:pPr>
        <w:pStyle w:val="Heading20"/>
        <w:keepNext/>
        <w:keepLines/>
        <w:numPr>
          <w:ilvl w:val="0"/>
          <w:numId w:val="1"/>
        </w:numPr>
        <w:shd w:val="clear" w:color="auto" w:fill="auto"/>
        <w:tabs>
          <w:tab w:val="left" w:pos="442"/>
        </w:tabs>
      </w:pPr>
      <w:bookmarkStart w:id="18" w:name="bookmark20"/>
      <w:r>
        <w:t>Instrumenti politik in pobude za spodbujanje raznolikosti in vključenosti v državnih tožilstvih</w:t>
      </w:r>
      <w:bookmarkEnd w:id="18"/>
    </w:p>
    <w:p w14:paraId="58F582CB" w14:textId="77777777" w:rsidR="00281E97" w:rsidRDefault="00A253FF">
      <w:pPr>
        <w:pStyle w:val="BodyText"/>
        <w:numPr>
          <w:ilvl w:val="0"/>
          <w:numId w:val="2"/>
        </w:numPr>
        <w:shd w:val="clear" w:color="auto" w:fill="auto"/>
        <w:tabs>
          <w:tab w:val="left" w:pos="586"/>
        </w:tabs>
        <w:ind w:left="580" w:hanging="580"/>
      </w:pPr>
      <w:r>
        <w:t xml:space="preserve">Med instrumente politik sodijo zlasti strateški dokumenti, ki se osredotočajo na posamezne varovane osebne okoliščine. Takšni instrumenti politik lahko vključujejo tudi širše strateške dokumente, na primer strategije na področju človekovih pravic, enakosti spolov ali boja proti rasizmu, ki veljajo več let. Osredotočenost na človekove pravice v takšnih strateških dokumentih neposredno vodi k izrecni omembi pravosodnega sistema, vključno z državnim tožilstvom Obstajajo tudi strateški dokumenti, ki neposredno </w:t>
      </w:r>
      <w:r>
        <w:t>naslavljajo razvoj in delovanje pravosodnega sistema, vključno z državnim tožilstvom, ter se osredotočajo na raznolikost in vključenost.</w:t>
      </w:r>
    </w:p>
    <w:p w14:paraId="5DA7879A" w14:textId="77777777" w:rsidR="00281E97" w:rsidRDefault="00A253FF">
      <w:pPr>
        <w:pStyle w:val="BodyText"/>
        <w:numPr>
          <w:ilvl w:val="0"/>
          <w:numId w:val="2"/>
        </w:numPr>
        <w:shd w:val="clear" w:color="auto" w:fill="auto"/>
        <w:tabs>
          <w:tab w:val="left" w:pos="557"/>
        </w:tabs>
        <w:ind w:left="580" w:hanging="580"/>
      </w:pPr>
      <w:r>
        <w:t>Ti strateški dokumenti usmerjajo delovanje in določajo standarde raznolikosti in vključenosti pri vsakodnevnem delu državnih tožilstev ter pri izvajanju njihovih nalog. Prav tako spodbujajo pobude državnih tožilstev za usposabljanje tožilcev z namenom krepitve njihove sposobnosti upoštevati in izvajati te standarde v vsakodnevni praksi.</w:t>
      </w:r>
    </w:p>
    <w:p w14:paraId="7F0A0153" w14:textId="77777777" w:rsidR="00281E97" w:rsidRDefault="00A253FF">
      <w:pPr>
        <w:pStyle w:val="BodyText"/>
        <w:numPr>
          <w:ilvl w:val="0"/>
          <w:numId w:val="2"/>
        </w:numPr>
        <w:shd w:val="clear" w:color="auto" w:fill="auto"/>
        <w:tabs>
          <w:tab w:val="left" w:pos="557"/>
        </w:tabs>
        <w:ind w:left="580" w:hanging="580"/>
      </w:pPr>
      <w:r>
        <w:t>Ta poudarek na načela raznolikosti in vključenosti pri izvajanju nalog državnih tožilstev se v nekaterih primerih dodatno nadgrajuje s kodeksi ravnanja, kodeksi etike, politikami ali smernicami, ki so posebej vzpostavljeni za urejanje delovanja državnih tožilstev in načina njihovega dela. Takšne kodekse, politike ali smernice lahko sprejmejo zakonsko določeni organi, pristojni za državna tožilstva, organi upravljanja, ki se ukvarjajo z njihovim delovanjem, ali sama državna tožilstva.</w:t>
      </w:r>
    </w:p>
    <w:p w14:paraId="3DE1B9F3" w14:textId="77777777" w:rsidR="00281E97" w:rsidRDefault="00A253FF">
      <w:pPr>
        <w:pStyle w:val="BodyText"/>
        <w:numPr>
          <w:ilvl w:val="0"/>
          <w:numId w:val="2"/>
        </w:numPr>
        <w:shd w:val="clear" w:color="auto" w:fill="auto"/>
        <w:tabs>
          <w:tab w:val="left" w:pos="557"/>
        </w:tabs>
        <w:ind w:left="580" w:hanging="580"/>
      </w:pPr>
      <w:r>
        <w:lastRenderedPageBreak/>
        <w:t>CCPE poudarja pomen tega, da so državna tožilstva ustrezno vključena v strateške dokumente držav članic, ki obravnavajo raznolikost in vključenost. Državna tožilstva se spodbuja, da sodelujejo z organi in telesi, odgovornimi za razvoj in izvajanje teh strateških dokumentov, ter da te strateške dokumente uresničujejo v praksi.</w:t>
      </w:r>
    </w:p>
    <w:p w14:paraId="17A76F3B" w14:textId="77777777" w:rsidR="00281E97" w:rsidRDefault="00A253FF">
      <w:pPr>
        <w:pStyle w:val="BodyText"/>
        <w:numPr>
          <w:ilvl w:val="0"/>
          <w:numId w:val="2"/>
        </w:numPr>
        <w:shd w:val="clear" w:color="auto" w:fill="auto"/>
        <w:tabs>
          <w:tab w:val="left" w:pos="586"/>
        </w:tabs>
        <w:ind w:left="580" w:hanging="580"/>
      </w:pPr>
      <w:r>
        <w:t>V skladu s politikami ali smernicami za zaposlovanje in upravljanje kadrov v javnem sektorju oziroma, kadar takšni širši dokumenti ne obstajajo, na lastno pobudo, lahko državna tožilstva sprejmejo strategije, priročnike ali notranje akte za urejanje svojih upravljavskih postopkov ter, kjer je ustrezno, tudi postopkov zaposlovanja, in sicer na način, ki odraža njihovo zavezanost raznolikosti in vključenosti.</w:t>
      </w:r>
    </w:p>
    <w:p w14:paraId="0D62D6A5" w14:textId="77777777" w:rsidR="00281E97" w:rsidRDefault="00A253FF">
      <w:pPr>
        <w:pStyle w:val="BodyText"/>
        <w:numPr>
          <w:ilvl w:val="0"/>
          <w:numId w:val="2"/>
        </w:numPr>
        <w:shd w:val="clear" w:color="auto" w:fill="auto"/>
        <w:tabs>
          <w:tab w:val="left" w:pos="557"/>
        </w:tabs>
        <w:ind w:left="580" w:hanging="580"/>
      </w:pPr>
      <w:r>
        <w:t>CCPE poudarja pomen vlaganja v krepitev usposobljenosti tožilcev za ustrezno in učinkovito uresničevanje takšnih politik in smernic ter zagotavljanja, da so tožilci ustrezno seznanjeni z njihovim pomenom in vsebino.</w:t>
      </w:r>
    </w:p>
    <w:p w14:paraId="23D131DD" w14:textId="77777777" w:rsidR="00281E97" w:rsidRDefault="00A253FF">
      <w:pPr>
        <w:pStyle w:val="Heading20"/>
        <w:keepNext/>
        <w:keepLines/>
        <w:numPr>
          <w:ilvl w:val="0"/>
          <w:numId w:val="1"/>
        </w:numPr>
        <w:shd w:val="clear" w:color="auto" w:fill="auto"/>
        <w:tabs>
          <w:tab w:val="left" w:pos="442"/>
        </w:tabs>
        <w:spacing w:after="320"/>
      </w:pPr>
      <w:bookmarkStart w:id="19" w:name="bookmark21"/>
      <w:r>
        <w:t>Praktični ukrepi za raznolikost in vključenost v državnih tožilstvih</w:t>
      </w:r>
      <w:bookmarkEnd w:id="19"/>
    </w:p>
    <w:p w14:paraId="2B72AE6C" w14:textId="77777777" w:rsidR="00281E97" w:rsidRDefault="00A253FF">
      <w:pPr>
        <w:pStyle w:val="BodyText"/>
        <w:numPr>
          <w:ilvl w:val="0"/>
          <w:numId w:val="2"/>
        </w:numPr>
        <w:shd w:val="clear" w:color="auto" w:fill="auto"/>
        <w:tabs>
          <w:tab w:val="left" w:pos="586"/>
        </w:tabs>
        <w:ind w:left="580" w:hanging="580"/>
      </w:pPr>
      <w:r>
        <w:t>Državna tožilstva je treba spodbujati k načrtnemu in sistematičnemu pristopu k raznolikosti in vključenosti. Začetna izhodišča vključujejo vzpostavitev in delovanje organizacijskega okvira, ki zagotavlja ter ohranja ustrezen ter učinkovit poudarek na raznolikosti in vključenosti.</w:t>
      </w:r>
    </w:p>
    <w:p w14:paraId="699A357B" w14:textId="77777777" w:rsidR="00281E97" w:rsidRDefault="00A253FF">
      <w:pPr>
        <w:pStyle w:val="BodyText"/>
        <w:numPr>
          <w:ilvl w:val="0"/>
          <w:numId w:val="2"/>
        </w:numPr>
        <w:shd w:val="clear" w:color="auto" w:fill="auto"/>
        <w:tabs>
          <w:tab w:val="left" w:pos="572"/>
        </w:tabs>
        <w:ind w:left="580" w:hanging="580"/>
      </w:pPr>
      <w:r>
        <w:t>Načrten in sistematičen pristop k uresničevanju zakonodaje o enakosti od državnih tožilstev zato zahteva med drugim:</w:t>
      </w:r>
    </w:p>
    <w:p w14:paraId="5C029E20" w14:textId="77777777" w:rsidR="00281E97" w:rsidRDefault="00A253FF">
      <w:pPr>
        <w:pStyle w:val="BodyText"/>
        <w:numPr>
          <w:ilvl w:val="0"/>
          <w:numId w:val="4"/>
        </w:numPr>
        <w:shd w:val="clear" w:color="auto" w:fill="auto"/>
        <w:tabs>
          <w:tab w:val="left" w:pos="1097"/>
        </w:tabs>
        <w:ind w:left="1080" w:hanging="340"/>
      </w:pPr>
      <w:r>
        <w:t>vzpostavitev notranje organizacijske politike, ki določa zavezanost enakosti; zagotavlja delovno okolje in okolje opravljanja storitev brez nadlegovanja, vključno s spolnim nadlegovanjem, ki spodbuja raznolikost; opredeljuje cilje na področju raznolikosti in vključenosti; ter določa korake za uresničevanje te zavezanosti in teh ciljev;</w:t>
      </w:r>
    </w:p>
    <w:p w14:paraId="6B7927C9" w14:textId="77777777" w:rsidR="00281E97" w:rsidRDefault="00A253FF">
      <w:pPr>
        <w:pStyle w:val="BodyText"/>
        <w:numPr>
          <w:ilvl w:val="0"/>
          <w:numId w:val="4"/>
        </w:numPr>
        <w:shd w:val="clear" w:color="auto" w:fill="auto"/>
        <w:tabs>
          <w:tab w:val="left" w:pos="1097"/>
        </w:tabs>
        <w:ind w:left="1080" w:hanging="340"/>
      </w:pPr>
      <w:r>
        <w:t>vzpostavitev vodilne funkcije za uresničitev te zavezanosti in teh ciljev, kot tudi oblikovanje medorganizacijskih teles, ki omogočajo njihovo uresničevanje v praksi in spodbujajo njihovo izvajanje;</w:t>
      </w:r>
    </w:p>
    <w:p w14:paraId="21F83505" w14:textId="77777777" w:rsidR="00281E97" w:rsidRDefault="00A253FF">
      <w:pPr>
        <w:pStyle w:val="BodyText"/>
        <w:numPr>
          <w:ilvl w:val="0"/>
          <w:numId w:val="4"/>
        </w:numPr>
        <w:shd w:val="clear" w:color="auto" w:fill="auto"/>
        <w:tabs>
          <w:tab w:val="left" w:pos="1097"/>
        </w:tabs>
        <w:ind w:left="1080" w:hanging="340"/>
      </w:pPr>
      <w:r>
        <w:t>periodično pregledovanje ali revidiranje sistema delovnih procesov in delovnega okolja v organizaciji ter preverjanje rezultatov dela z vidika raznolikosti in vključenosti, da se zagotovi skladnost s to zavezanostjo in cilji, skupaj s pripravo in izvajanjem načrtov za obravnavo vprašanj ali vrzeli, ki se pokažejo pri takem pregledu ali reviziji;</w:t>
      </w:r>
    </w:p>
    <w:p w14:paraId="4A16C2FA" w14:textId="77777777" w:rsidR="00281E97" w:rsidRDefault="00A253FF">
      <w:pPr>
        <w:pStyle w:val="BodyText"/>
        <w:numPr>
          <w:ilvl w:val="0"/>
          <w:numId w:val="4"/>
        </w:numPr>
        <w:shd w:val="clear" w:color="auto" w:fill="auto"/>
        <w:tabs>
          <w:tab w:val="left" w:pos="1097"/>
        </w:tabs>
        <w:ind w:left="1080" w:hanging="340"/>
      </w:pPr>
      <w:r>
        <w:t>vzpostavitev sistema, ki zagotavlja upoštevanje vprašanj raznolikosti in vključenosti ter njihovo ustrezno obravnavo pri sprejemanju odločitev ter pri pripravi politik in načrtov;</w:t>
      </w:r>
    </w:p>
    <w:p w14:paraId="6642D991" w14:textId="77777777" w:rsidR="00281E97" w:rsidRDefault="00A253FF">
      <w:pPr>
        <w:pStyle w:val="BodyText"/>
        <w:numPr>
          <w:ilvl w:val="0"/>
          <w:numId w:val="4"/>
        </w:numPr>
        <w:shd w:val="clear" w:color="auto" w:fill="auto"/>
        <w:tabs>
          <w:tab w:val="left" w:pos="1097"/>
        </w:tabs>
        <w:ind w:left="1080" w:hanging="340"/>
      </w:pPr>
      <w:r>
        <w:t>vzpostavitev sistema za sprejemanje ter pravočasno, pošteno in učinkovito obravnavo pritožb zaradi diskriminacije, nadlegovanja, spolnega nadlegovanja ali neizvedbe razumnih prilagoditev za tožilce, kandidate za to funkcijo ali uporabnike storitev z invalidnostmi.</w:t>
      </w:r>
    </w:p>
    <w:p w14:paraId="2DA18D55" w14:textId="77777777" w:rsidR="00281E97" w:rsidRDefault="00A253FF">
      <w:pPr>
        <w:pStyle w:val="BodyText"/>
        <w:numPr>
          <w:ilvl w:val="0"/>
          <w:numId w:val="2"/>
        </w:numPr>
        <w:shd w:val="clear" w:color="auto" w:fill="auto"/>
        <w:tabs>
          <w:tab w:val="left" w:pos="572"/>
        </w:tabs>
        <w:ind w:left="580" w:hanging="580"/>
      </w:pPr>
      <w:r>
        <w:t xml:space="preserve">Nekatera državna tožilstva so pripravila lastno organizacijsko strategijo, ki vključuje </w:t>
      </w:r>
      <w:r>
        <w:lastRenderedPageBreak/>
        <w:t>raznolikost in vključenost. V posameznih primerih so oblikovala tudi posebno strategijo na področju raznolikosti in vključenosti. V določenih primerih so državna tožilstva sklenila tudi kolektivno pogodbo z združenji tožilcev, ki vključuje poudarek na raznolikosti in vključenosti ter ukrepe za spodbujanje obeh področij.</w:t>
      </w:r>
    </w:p>
    <w:p w14:paraId="29B7C0CF" w14:textId="77777777" w:rsidR="00281E97" w:rsidRDefault="00A253FF">
      <w:pPr>
        <w:pStyle w:val="BodyText"/>
        <w:numPr>
          <w:ilvl w:val="0"/>
          <w:numId w:val="2"/>
        </w:numPr>
        <w:shd w:val="clear" w:color="auto" w:fill="auto"/>
        <w:tabs>
          <w:tab w:val="left" w:pos="572"/>
        </w:tabs>
        <w:ind w:left="580" w:hanging="580"/>
      </w:pPr>
      <w:r>
        <w:t>CCPE pozdravlja pozitivne korake državnih tožilstev, ki so vzpostavila organizacijski okvir oziroma posamezne elemente takšnega okvira in sistematičen pristop k raznolikosti in vključenosti, ter priznava potencial, ki ga tak pristop prinaša za delovanje državnih tožilstev.</w:t>
      </w:r>
    </w:p>
    <w:p w14:paraId="096C9141" w14:textId="77777777" w:rsidR="00281E97" w:rsidRDefault="00A253FF">
      <w:pPr>
        <w:pStyle w:val="BodyText"/>
        <w:numPr>
          <w:ilvl w:val="0"/>
          <w:numId w:val="2"/>
        </w:numPr>
        <w:shd w:val="clear" w:color="auto" w:fill="auto"/>
        <w:tabs>
          <w:tab w:val="left" w:pos="572"/>
        </w:tabs>
        <w:ind w:left="580" w:hanging="580"/>
      </w:pPr>
      <w:r>
        <w:t>Med praktične primere ukrepov državnih tožilstev v podporo raznolikosti in vključenosti sodi tudi nagovarjanje študentov in širše javnosti v okviru spodbujanja zaposlovanja v tem sektorju. Te aktivnosti vključujejo pobude za ozaveščanje, študentske prakse ter dogodke in seminarje za širšo javnost. Takšne pobude zagotavljajo pomembne in dragocene priložnosti za predstavitev zavezanosti državnih tožilstev raznolikosti in vključenosti ter za neposredno vzpostavljanje stika z raznolikimi skupinami in njihovo vk</w:t>
      </w:r>
      <w:r>
        <w:t>ljučevanje.</w:t>
      </w:r>
    </w:p>
    <w:p w14:paraId="250D2C1A" w14:textId="77777777" w:rsidR="00281E97" w:rsidRDefault="00A253FF">
      <w:pPr>
        <w:pStyle w:val="BodyText"/>
        <w:numPr>
          <w:ilvl w:val="0"/>
          <w:numId w:val="2"/>
        </w:numPr>
        <w:shd w:val="clear" w:color="auto" w:fill="auto"/>
        <w:tabs>
          <w:tab w:val="left" w:pos="566"/>
        </w:tabs>
        <w:spacing w:after="260"/>
        <w:ind w:left="580" w:hanging="580"/>
      </w:pPr>
      <w:r>
        <w:t>Poleg tega se prožnost in prilagodljivost za naslavljanje posebnih potreb kažeta v postopkih zaposlovanja, ureditvi delovnega okolja in organizaciji dela v državnih tožilstvih ter pri zagotavljanju storitev z namenom spodbujanja raznolikosti in vključenosti. Ta prožnost in prilagodljivost sta posebej izraziti pri:</w:t>
      </w:r>
    </w:p>
    <w:p w14:paraId="0561B1D9" w14:textId="77777777" w:rsidR="00281E97" w:rsidRDefault="00A253FF">
      <w:pPr>
        <w:pStyle w:val="BodyText"/>
        <w:shd w:val="clear" w:color="auto" w:fill="auto"/>
        <w:spacing w:after="260"/>
        <w:ind w:left="1420" w:hanging="340"/>
      </w:pPr>
      <w:r>
        <w:rPr>
          <w:sz w:val="20"/>
        </w:rPr>
        <w:t xml:space="preserve">• </w:t>
      </w:r>
      <w:r>
        <w:t>ureditvah na področju enakosti spolov in vključevanja vidika spola, vključno z ukrepi za usklajevanje poklicnega in zasebnega življenja, pravico do odklopa ter družini prijaznimi pristopi k organizaciji dela, kot so ureditve glede dopustov, delitev delovnega mesta, delo na daljavo, skrajšan delovni čas, prostori za dojenje, ureditev v zvezi z menopavzo, plačana odsotnost za zdravstvene preglede, podpora pri varstvu otrok ter drugi ukrepi;</w:t>
      </w:r>
    </w:p>
    <w:p w14:paraId="0FF0817D" w14:textId="77777777" w:rsidR="00281E97" w:rsidRDefault="00A253FF">
      <w:pPr>
        <w:pStyle w:val="BodyText"/>
        <w:shd w:val="clear" w:color="auto" w:fill="auto"/>
        <w:spacing w:after="260"/>
        <w:ind w:left="1420" w:hanging="340"/>
      </w:pPr>
      <w:r>
        <w:rPr>
          <w:sz w:val="20"/>
        </w:rPr>
        <w:t xml:space="preserve">• </w:t>
      </w:r>
      <w:r>
        <w:t>ureditvah na področju invalidnosti, ki vključujejo dostopno fizično infrastrukturo, prilagoditev prostorov in opreme, zagotavljanje posebne opreme, prožne oblike dela, delo na daljavo, prilagojeno zasnovo delovnih mest ter druge ukrepe;</w:t>
      </w:r>
    </w:p>
    <w:p w14:paraId="18A45FF8" w14:textId="77777777" w:rsidR="00281E97" w:rsidRDefault="00A253FF">
      <w:pPr>
        <w:pStyle w:val="BodyText"/>
        <w:shd w:val="clear" w:color="auto" w:fill="auto"/>
        <w:spacing w:after="320"/>
        <w:ind w:left="1420" w:hanging="340"/>
      </w:pPr>
      <w:r>
        <w:rPr>
          <w:sz w:val="20"/>
        </w:rPr>
        <w:t xml:space="preserve">• </w:t>
      </w:r>
      <w:r>
        <w:t>ureditvah v zvezi s socialno-ekonomskim položajem, ki se uporabljajo v posebnih primerih, ko bi lahko ekonomska stiska odvrnila kandidate od polnega in učinkovitega sodelovanja v postopku zaposlovanja, pri čemer se kandidatom lahko zagotovi finančna pomoč za odpravo takšnih ovir, skupaj z drugimi ustreznimi ukrepi.</w:t>
      </w:r>
    </w:p>
    <w:p w14:paraId="75027279" w14:textId="77777777" w:rsidR="00281E97" w:rsidRDefault="00A253FF">
      <w:pPr>
        <w:pStyle w:val="BodyText"/>
        <w:numPr>
          <w:ilvl w:val="0"/>
          <w:numId w:val="2"/>
        </w:numPr>
        <w:shd w:val="clear" w:color="auto" w:fill="auto"/>
        <w:tabs>
          <w:tab w:val="left" w:pos="566"/>
        </w:tabs>
        <w:spacing w:after="260"/>
        <w:ind w:left="580" w:hanging="580"/>
      </w:pPr>
      <w:r>
        <w:t>Državna tožilstva izkoriščajo možnosti, ki jih nudi zakonodaja o enakosti za naslavljanje neenakega položaja, da bi sprejela ukrepe za spodbujanje raznolikosti in vključenosti, pri čemer hkrati ohranjajo zahteve v zvezi z merili za delovna mesta in ustreznostjo kandidatov. Med praktične primere takšnih ukrepov sodijo:</w:t>
      </w:r>
    </w:p>
    <w:p w14:paraId="79EE93CC" w14:textId="77777777" w:rsidR="00281E97" w:rsidRDefault="00A253FF">
      <w:pPr>
        <w:pStyle w:val="BodyText"/>
        <w:numPr>
          <w:ilvl w:val="0"/>
          <w:numId w:val="5"/>
        </w:numPr>
        <w:shd w:val="clear" w:color="auto" w:fill="auto"/>
        <w:tabs>
          <w:tab w:val="left" w:pos="1100"/>
        </w:tabs>
        <w:spacing w:after="0"/>
        <w:ind w:left="1060" w:hanging="320"/>
      </w:pPr>
      <w:r>
        <w:t>spodbujanje prijav na prosta delovna mesta, ki so usmerjena v posamezne skupine. Prav tako se v objavah prostih delovnih mest uporablja splošnejše spodbude za prijavo raznolikih kandidatov ter krepi prepoznavanje državnega tožilstva kot vključujočega delodajalca;</w:t>
      </w:r>
    </w:p>
    <w:p w14:paraId="50A90573" w14:textId="77777777" w:rsidR="00281E97" w:rsidRDefault="00A253FF">
      <w:pPr>
        <w:pStyle w:val="BodyText"/>
        <w:numPr>
          <w:ilvl w:val="0"/>
          <w:numId w:val="5"/>
        </w:numPr>
        <w:shd w:val="clear" w:color="auto" w:fill="auto"/>
        <w:tabs>
          <w:tab w:val="left" w:pos="1100"/>
        </w:tabs>
        <w:spacing w:after="0"/>
        <w:ind w:left="1060" w:hanging="320"/>
      </w:pPr>
      <w:r>
        <w:t>izvajanje pripravništev in študentskih praks s posebnim poudarkom na raznolikosti in vključenosti;</w:t>
      </w:r>
    </w:p>
    <w:p w14:paraId="7F42EEDB" w14:textId="77777777" w:rsidR="00281E97" w:rsidRDefault="00A253FF">
      <w:pPr>
        <w:pStyle w:val="BodyText"/>
        <w:numPr>
          <w:ilvl w:val="0"/>
          <w:numId w:val="5"/>
        </w:numPr>
        <w:shd w:val="clear" w:color="auto" w:fill="auto"/>
        <w:tabs>
          <w:tab w:val="left" w:pos="1100"/>
        </w:tabs>
        <w:spacing w:after="0"/>
        <w:ind w:left="1060" w:hanging="320"/>
      </w:pPr>
      <w:r>
        <w:lastRenderedPageBreak/>
        <w:t>usposabljanje tožilcev, ki vključuje poudarek na raznolikosti in vključenosti ter krepitev njihovih zmožnosti na tem področju, skupaj z namenskim usposabljanjem članov izbirnih komisij;</w:t>
      </w:r>
    </w:p>
    <w:p w14:paraId="45D23ED8" w14:textId="77777777" w:rsidR="00281E97" w:rsidRDefault="00A253FF">
      <w:pPr>
        <w:pStyle w:val="BodyText"/>
        <w:numPr>
          <w:ilvl w:val="0"/>
          <w:numId w:val="5"/>
        </w:numPr>
        <w:shd w:val="clear" w:color="auto" w:fill="auto"/>
        <w:tabs>
          <w:tab w:val="left" w:pos="1100"/>
        </w:tabs>
        <w:spacing w:after="0"/>
        <w:ind w:left="1060" w:hanging="320"/>
      </w:pPr>
      <w:r>
        <w:t>z vidika spola nevtralne prakse zaposlovanja</w:t>
      </w:r>
      <w:hyperlink w:anchor="bookmark14" w:tooltip="Trenutni dokument">
        <w:r>
          <w:rPr>
            <w:vertAlign w:val="superscript"/>
          </w:rPr>
          <w:footnoteReference w:id="15"/>
        </w:r>
        <w:r>
          <w:t xml:space="preserve"> </w:t>
        </w:r>
      </w:hyperlink>
      <w:r>
        <w:t xml:space="preserve"> ali napredovanja, pri katerih se zahtevana delovna doba izračuna tako, da se upošteva čas odsotnosti z dela iz družinskih razlogov;</w:t>
      </w:r>
    </w:p>
    <w:p w14:paraId="2DC1C4E7" w14:textId="77777777" w:rsidR="00281E97" w:rsidRDefault="00A253FF">
      <w:pPr>
        <w:pStyle w:val="BodyText"/>
        <w:numPr>
          <w:ilvl w:val="0"/>
          <w:numId w:val="5"/>
        </w:numPr>
        <w:shd w:val="clear" w:color="auto" w:fill="auto"/>
        <w:tabs>
          <w:tab w:val="left" w:pos="1100"/>
        </w:tabs>
        <w:spacing w:after="0"/>
        <w:ind w:left="1060" w:hanging="320"/>
      </w:pPr>
      <w:r>
        <w:t>določanje ciljnih vrednosti za zaposlovanje oseb iz posameznih skupin, vključno z zakonsko določenimi zahtevami na tem področju, ob hkratnem ohranjanju strokovnih meril in zahtev glede ustreznosti kandidatov;</w:t>
      </w:r>
    </w:p>
    <w:p w14:paraId="7DABA2FD" w14:textId="77777777" w:rsidR="00281E97" w:rsidRDefault="00A253FF">
      <w:pPr>
        <w:pStyle w:val="BodyText"/>
        <w:numPr>
          <w:ilvl w:val="0"/>
          <w:numId w:val="5"/>
        </w:numPr>
        <w:shd w:val="clear" w:color="auto" w:fill="auto"/>
        <w:tabs>
          <w:tab w:val="left" w:pos="1100"/>
        </w:tabs>
        <w:spacing w:after="0"/>
        <w:ind w:left="1060" w:hanging="320"/>
      </w:pPr>
      <w:r>
        <w:t>določanje ciljnih vrednosti za delež žensk na vodilnih položajih;</w:t>
      </w:r>
    </w:p>
    <w:p w14:paraId="3C98B248" w14:textId="77777777" w:rsidR="00281E97" w:rsidRDefault="00A253FF">
      <w:pPr>
        <w:pStyle w:val="BodyText"/>
        <w:numPr>
          <w:ilvl w:val="0"/>
          <w:numId w:val="5"/>
        </w:numPr>
        <w:shd w:val="clear" w:color="auto" w:fill="auto"/>
        <w:tabs>
          <w:tab w:val="left" w:pos="1100"/>
        </w:tabs>
        <w:spacing w:after="0"/>
        <w:ind w:left="1060" w:hanging="320"/>
      </w:pPr>
      <w:r>
        <w:t>zagotavljanje prisotnosti kandidatov iz različnih skupin v fazi razgovora,</w:t>
      </w:r>
    </w:p>
    <w:p w14:paraId="48FC3D10" w14:textId="77777777" w:rsidR="00281E97" w:rsidRDefault="00A253FF">
      <w:pPr>
        <w:pStyle w:val="BodyText"/>
        <w:shd w:val="clear" w:color="auto" w:fill="auto"/>
        <w:spacing w:after="260"/>
        <w:ind w:left="1420" w:hanging="340"/>
      </w:pPr>
      <w:r>
        <w:t>kadar izpolnjujejo zahtevane pogoje;</w:t>
      </w:r>
    </w:p>
    <w:p w14:paraId="0FBF5E8A" w14:textId="77777777" w:rsidR="00281E97" w:rsidRDefault="00A253FF">
      <w:pPr>
        <w:pStyle w:val="BodyText"/>
        <w:numPr>
          <w:ilvl w:val="0"/>
          <w:numId w:val="5"/>
        </w:numPr>
        <w:shd w:val="clear" w:color="auto" w:fill="auto"/>
        <w:tabs>
          <w:tab w:val="left" w:pos="1102"/>
        </w:tabs>
        <w:spacing w:after="0"/>
        <w:ind w:left="1100" w:hanging="360"/>
      </w:pPr>
      <w:r>
        <w:t>uporaba notranjih programov mentorstva in pripravništva za spodbujanje zaposlenih v državnih tožilstvih, ki nimajo pravne izobrazbe, da pridobijo pravno izobrazbo in s tem možnosti za karierni razvoj, s čimer se krepi raznolikost in vključenost;</w:t>
      </w:r>
    </w:p>
    <w:p w14:paraId="3B9A91CD" w14:textId="77777777" w:rsidR="00281E97" w:rsidRDefault="00A253FF">
      <w:pPr>
        <w:pStyle w:val="BodyText"/>
        <w:numPr>
          <w:ilvl w:val="0"/>
          <w:numId w:val="5"/>
        </w:numPr>
        <w:shd w:val="clear" w:color="auto" w:fill="auto"/>
        <w:tabs>
          <w:tab w:val="left" w:pos="1102"/>
        </w:tabs>
        <w:spacing w:after="0"/>
        <w:ind w:left="1100" w:hanging="360"/>
      </w:pPr>
      <w:r>
        <w:t>spodbujanje vodilne funkcije, ki je zavezana raznolikosti in vključenosti;</w:t>
      </w:r>
    </w:p>
    <w:p w14:paraId="33D82BC2" w14:textId="77777777" w:rsidR="00281E97" w:rsidRDefault="00A253FF">
      <w:pPr>
        <w:pStyle w:val="BodyText"/>
        <w:numPr>
          <w:ilvl w:val="0"/>
          <w:numId w:val="5"/>
        </w:numPr>
        <w:shd w:val="clear" w:color="auto" w:fill="auto"/>
        <w:tabs>
          <w:tab w:val="left" w:pos="1102"/>
        </w:tabs>
        <w:ind w:left="1100" w:hanging="360"/>
      </w:pPr>
      <w:r>
        <w:t>krepitev ozaveščenosti o raznolikosti in vključenosti, da se izboljša medsebojno sodelovanje, način ravnanja in komunikacija v celotni organizaciji.</w:t>
      </w:r>
    </w:p>
    <w:p w14:paraId="0713737E" w14:textId="77777777" w:rsidR="00281E97" w:rsidRDefault="00A253FF">
      <w:pPr>
        <w:pStyle w:val="BodyText"/>
        <w:numPr>
          <w:ilvl w:val="0"/>
          <w:numId w:val="2"/>
        </w:numPr>
        <w:shd w:val="clear" w:color="auto" w:fill="auto"/>
        <w:tabs>
          <w:tab w:val="left" w:pos="544"/>
        </w:tabs>
        <w:ind w:left="580" w:hanging="580"/>
      </w:pPr>
      <w:r>
        <w:t>CCPE spodbuja inovativnost in ambicioznost, ki ju izkazujejo praktične pobude državnih tožilstev na področju raznolikosti in vključenosti. Širjenje takšnih pobud je pomembno, saj predstavlja vir dobre prakse, ki jo je mogoče deliti med državnimi tožilstvi.</w:t>
      </w:r>
    </w:p>
    <w:p w14:paraId="10425D3A" w14:textId="77777777" w:rsidR="00281E97" w:rsidRDefault="00A253FF">
      <w:pPr>
        <w:pStyle w:val="BodyText"/>
        <w:numPr>
          <w:ilvl w:val="0"/>
          <w:numId w:val="2"/>
        </w:numPr>
        <w:shd w:val="clear" w:color="auto" w:fill="auto"/>
        <w:tabs>
          <w:tab w:val="left" w:pos="544"/>
        </w:tabs>
        <w:ind w:left="580" w:hanging="580"/>
      </w:pPr>
      <w:r>
        <w:t>Državna tožilstva držav članic se ne učijo le druga od drugih, temveč lahko gradijo in razvijajo odnose ter pripravljajo skupne pobude tudi z drugimi institucijami, ki imajo strokovno znanje na področju raznolikosti in vključenosti. V ta namen so se nekatera državna tožilstva zlasti obrnila na organe za enakost ter na opazovalne centre, ki delujejo na področju enakosti.</w:t>
      </w:r>
    </w:p>
    <w:p w14:paraId="5CFF333D" w14:textId="77777777" w:rsidR="00281E97" w:rsidRDefault="00A253FF">
      <w:pPr>
        <w:pStyle w:val="BodyText"/>
        <w:numPr>
          <w:ilvl w:val="0"/>
          <w:numId w:val="2"/>
        </w:numPr>
        <w:shd w:val="clear" w:color="auto" w:fill="auto"/>
        <w:tabs>
          <w:tab w:val="left" w:pos="544"/>
        </w:tabs>
        <w:ind w:left="580" w:hanging="580"/>
      </w:pPr>
      <w:r>
        <w:t>CCPE meni, da imajo organi za enakost, opazovalni centri s področja enakosti ter druge sorodne institucije z ustreznim strokovnim znanjem o enakosti velik potencial zagotoviti dragoceno podporo državnim tožilstvom ter krepiti njihovo sposobnost uporabe načel raznolikosti in vključenosti pri svojem delu. CCPE zato spodbuja državna tožilstva k razvijanju pozitivnih delovnih odnosov s takšnimi institucijami.</w:t>
      </w:r>
    </w:p>
    <w:p w14:paraId="455D9BB4" w14:textId="77777777" w:rsidR="00281E97" w:rsidRDefault="00A253FF">
      <w:pPr>
        <w:pStyle w:val="Heading20"/>
        <w:keepNext/>
        <w:keepLines/>
        <w:numPr>
          <w:ilvl w:val="0"/>
          <w:numId w:val="1"/>
        </w:numPr>
        <w:shd w:val="clear" w:color="auto" w:fill="auto"/>
        <w:tabs>
          <w:tab w:val="left" w:pos="544"/>
        </w:tabs>
        <w:ind w:left="580" w:hanging="580"/>
      </w:pPr>
      <w:bookmarkStart w:id="21" w:name="bookmark22"/>
      <w:r>
        <w:t>Podatki o enakosti</w:t>
      </w:r>
      <w:bookmarkEnd w:id="21"/>
    </w:p>
    <w:p w14:paraId="332B1B7D" w14:textId="77777777" w:rsidR="00281E97" w:rsidRDefault="00A253FF">
      <w:pPr>
        <w:pStyle w:val="BodyText"/>
        <w:numPr>
          <w:ilvl w:val="0"/>
          <w:numId w:val="2"/>
        </w:numPr>
        <w:shd w:val="clear" w:color="auto" w:fill="auto"/>
        <w:tabs>
          <w:tab w:val="left" w:pos="544"/>
        </w:tabs>
        <w:ind w:left="580" w:hanging="580"/>
      </w:pPr>
      <w:r>
        <w:t>Zbiranje zanesljivih podatkov o enakosti, ki presegajo podatke o spolu in starosti, je v javnem sektorju, tudi v državnih tožilstvih, še vedno izziv. Zbiranje osebnih podatkov je občutljiva zadeva, zato je varstvo podatkov na tem področju nujno. Kljub temu pa varstvo podatkov ne izključuje zbiranja osebnih podatkov v zvezi z različnimi vidiki raznolikosti, kadar je takšne podatke mogoče anonimizirati ali kadar se zbirajo in uporabljajo za jasno opredeljen namen, ki je posameznikom ustrezno predstavljen, ter</w:t>
      </w:r>
      <w:r>
        <w:t xml:space="preserve"> kadar je zagotovitev </w:t>
      </w:r>
      <w:r>
        <w:lastRenderedPageBreak/>
        <w:t>teh podatkov prostovoljna.</w:t>
      </w:r>
    </w:p>
    <w:p w14:paraId="17CA4EBF" w14:textId="77777777" w:rsidR="00281E97" w:rsidRDefault="00A253FF">
      <w:pPr>
        <w:pStyle w:val="BodyText"/>
        <w:numPr>
          <w:ilvl w:val="0"/>
          <w:numId w:val="2"/>
        </w:numPr>
        <w:shd w:val="clear" w:color="auto" w:fill="auto"/>
        <w:tabs>
          <w:tab w:val="left" w:pos="544"/>
        </w:tabs>
        <w:ind w:left="580" w:hanging="580"/>
      </w:pPr>
      <w:r>
        <w:t>CCPE se zaveda potrebe po visokokakovostnih podatkih o enakosti na različnih področjih raznolikosti. Takšni podatki omogočajo vpogled v dejansko stanje na področju raznolikosti in vključenosti v državnih tožilstvih. Omogočajo tudi prepoznavanje izzivov in vrzeli. Prav tako predstavljajo trdno podlago za oblikovanje politik in praks na področju raznolikosti in vključenosti ter za spremljanje napredka. Zaradi preglednosti bi bilo treba te podatke, kjer je to izvedljivo, predstaviti tudi širši javnosti.</w:t>
      </w:r>
    </w:p>
    <w:p w14:paraId="473BC20A" w14:textId="77777777" w:rsidR="00281E97" w:rsidRDefault="00A253FF">
      <w:pPr>
        <w:pStyle w:val="Heading20"/>
        <w:keepNext/>
        <w:keepLines/>
        <w:numPr>
          <w:ilvl w:val="0"/>
          <w:numId w:val="1"/>
        </w:numPr>
        <w:shd w:val="clear" w:color="auto" w:fill="auto"/>
        <w:tabs>
          <w:tab w:val="left" w:pos="544"/>
        </w:tabs>
        <w:ind w:left="580" w:hanging="580"/>
      </w:pPr>
      <w:bookmarkStart w:id="22" w:name="bookmark23"/>
      <w:r>
        <w:t>Priporočila</w:t>
      </w:r>
      <w:bookmarkEnd w:id="22"/>
    </w:p>
    <w:p w14:paraId="5A8FCC81" w14:textId="77777777" w:rsidR="00281E97" w:rsidRDefault="00A253FF">
      <w:pPr>
        <w:pStyle w:val="BodyText"/>
        <w:numPr>
          <w:ilvl w:val="0"/>
          <w:numId w:val="2"/>
        </w:numPr>
        <w:shd w:val="clear" w:color="auto" w:fill="auto"/>
        <w:tabs>
          <w:tab w:val="left" w:pos="544"/>
        </w:tabs>
        <w:ind w:left="580" w:hanging="580"/>
      </w:pPr>
      <w:r>
        <w:t>Ob upoštevanju, da</w:t>
      </w:r>
    </w:p>
    <w:p w14:paraId="59A546A8" w14:textId="77777777" w:rsidR="00281E97" w:rsidRDefault="00A253FF">
      <w:pPr>
        <w:pStyle w:val="BodyText"/>
        <w:numPr>
          <w:ilvl w:val="0"/>
          <w:numId w:val="6"/>
        </w:numPr>
        <w:shd w:val="clear" w:color="auto" w:fill="auto"/>
        <w:tabs>
          <w:tab w:val="left" w:pos="1102"/>
        </w:tabs>
        <w:ind w:left="1100" w:hanging="360"/>
      </w:pPr>
      <w:r>
        <w:t>raznolikost in vključenost v državnih tožilstvih lahko pomembno prispevata h kakovosti in legitimnosti tožilskega dela, krepita zaupanje ter omogočata bolj informiran in uravnotežen pristop k opravljanju tožilskih nalog, kar pripomore k zagotavljanju pravičnega in nepristranskega sojenja;</w:t>
      </w:r>
    </w:p>
    <w:p w14:paraId="3494740C" w14:textId="77777777" w:rsidR="00281E97" w:rsidRDefault="00A253FF">
      <w:pPr>
        <w:pStyle w:val="BodyText"/>
        <w:numPr>
          <w:ilvl w:val="0"/>
          <w:numId w:val="6"/>
        </w:numPr>
        <w:shd w:val="clear" w:color="auto" w:fill="auto"/>
        <w:tabs>
          <w:tab w:val="left" w:pos="1080"/>
        </w:tabs>
        <w:ind w:left="1080" w:hanging="360"/>
      </w:pPr>
      <w:r>
        <w:t>zakonodaja o enakosti predstavlja temelj za raznolikost in vključenost v državnih tožilstvih in pri opravljanju tožilskih nalog, saj prepoveduje individualno in institucionalno diskriminacijo ter nadlegovanje, vključno s spolnim nadlegovanjem, določa obveznost razumnih prilagoditev za osebe z invalidnostmi ter v nekaterih primerih določa tudi zakonske obveznosti na področju enakosti, ki usmerjajo proaktiven pristop državnih tožilstev k raznolikosti in vključenosti;</w:t>
      </w:r>
    </w:p>
    <w:p w14:paraId="3E34C21B" w14:textId="77777777" w:rsidR="00281E97" w:rsidRDefault="00A253FF">
      <w:pPr>
        <w:pStyle w:val="BodyText"/>
        <w:numPr>
          <w:ilvl w:val="0"/>
          <w:numId w:val="6"/>
        </w:numPr>
        <w:shd w:val="clear" w:color="auto" w:fill="auto"/>
        <w:tabs>
          <w:tab w:val="left" w:pos="1080"/>
        </w:tabs>
        <w:ind w:left="1080" w:hanging="360"/>
      </w:pPr>
      <w:r>
        <w:t>se od državnih tožilstev pričakuje, da so pri spoštovanju zakonodaje o enakosti prepoznavna, učinkovita in zgledna, na kar so se odzvala z oblikovanjem prakse, ki vključuje vzpostavitev organizacijskega okvira politik, organov in teles ter sistemov za načrten in sistematičen napredek na področju raznolikosti in vključenosti;</w:t>
      </w:r>
    </w:p>
    <w:p w14:paraId="0907662C" w14:textId="77777777" w:rsidR="00281E97" w:rsidRDefault="00A253FF">
      <w:pPr>
        <w:pStyle w:val="BodyText"/>
        <w:numPr>
          <w:ilvl w:val="0"/>
          <w:numId w:val="6"/>
        </w:numPr>
        <w:shd w:val="clear" w:color="auto" w:fill="auto"/>
        <w:tabs>
          <w:tab w:val="left" w:pos="1080"/>
        </w:tabs>
        <w:ind w:left="1080" w:hanging="360"/>
      </w:pPr>
      <w:r>
        <w:t>državna tožilstva so izkazala ambicioznost in inovativnost pri obravnavi raznolikosti in vključenosti, zlasti z ukrepi prilagajanja organizacije dela za naslavljanje posebnih potreb, povezanih z raznolikostjo, ter z zagotavljanjem pogojev, ki preprečujejo ovire za sodelovanje tožilcev in zaposlenih ter njihov prispevek, hkrati pa spodbujajo raznolikost in vključenost v organizaciji;</w:t>
      </w:r>
    </w:p>
    <w:p w14:paraId="7BE749B9" w14:textId="77777777" w:rsidR="00281E97" w:rsidRDefault="00A253FF">
      <w:pPr>
        <w:pStyle w:val="BodyText"/>
        <w:numPr>
          <w:ilvl w:val="0"/>
          <w:numId w:val="2"/>
        </w:numPr>
        <w:shd w:val="clear" w:color="auto" w:fill="auto"/>
        <w:tabs>
          <w:tab w:val="left" w:pos="566"/>
        </w:tabs>
        <w:jc w:val="left"/>
      </w:pPr>
      <w:r>
        <w:t>se je CCPE dogovoril o naslednjih priporočilih:</w:t>
      </w:r>
    </w:p>
    <w:p w14:paraId="730430B2" w14:textId="77777777" w:rsidR="00281E97" w:rsidRDefault="00A253FF">
      <w:pPr>
        <w:pStyle w:val="BodyText"/>
        <w:numPr>
          <w:ilvl w:val="0"/>
          <w:numId w:val="7"/>
        </w:numPr>
        <w:shd w:val="clear" w:color="auto" w:fill="auto"/>
        <w:tabs>
          <w:tab w:val="left" w:pos="1080"/>
        </w:tabs>
        <w:ind w:left="1080" w:hanging="360"/>
      </w:pPr>
      <w:r>
        <w:t>Pravni okvir za nediskriminacijo in enakost bi bilo mogoče dodatno okrepiti in nadgraditi z uvedbo zakonskih obveznosti na področju enakosti, ki bi spodbujale in usmerjale proaktiven pristop državnih tožilstev k raznolikosti in vključenosti,</w:t>
      </w:r>
      <w:hyperlink w:anchor="bookmark15" w:tooltip="Trenutni dokument">
        <w:r>
          <w:rPr>
            <w:vertAlign w:val="superscript"/>
          </w:rPr>
          <w:footnoteReference w:id="16"/>
        </w:r>
        <w:r>
          <w:t xml:space="preserve"> </w:t>
        </w:r>
      </w:hyperlink>
      <w:r>
        <w:t>tako pri zaposlovanju kot pri opravljanju tožilskih nalog.</w:t>
      </w:r>
    </w:p>
    <w:p w14:paraId="02CD0B7D" w14:textId="77777777" w:rsidR="00281E97" w:rsidRDefault="00A253FF">
      <w:pPr>
        <w:pStyle w:val="BodyText"/>
        <w:numPr>
          <w:ilvl w:val="0"/>
          <w:numId w:val="7"/>
        </w:numPr>
        <w:shd w:val="clear" w:color="auto" w:fill="auto"/>
        <w:tabs>
          <w:tab w:val="left" w:pos="1080"/>
        </w:tabs>
        <w:ind w:left="1080" w:hanging="360"/>
      </w:pPr>
      <w:r>
        <w:t>Državna tožilstva lahko vzpostavijo organizacijski okvir za spodbujanje in zagotavljanje skladnosti z zakonodajo o enakosti ter za spodbujanje raznolikosti in vključenosti, ki vključuje:</w:t>
      </w:r>
    </w:p>
    <w:p w14:paraId="0F3E6067" w14:textId="77777777" w:rsidR="00281E97" w:rsidRDefault="00A253FF">
      <w:pPr>
        <w:pStyle w:val="BodyText"/>
        <w:numPr>
          <w:ilvl w:val="0"/>
          <w:numId w:val="8"/>
        </w:numPr>
        <w:shd w:val="clear" w:color="auto" w:fill="auto"/>
        <w:tabs>
          <w:tab w:val="left" w:pos="1814"/>
        </w:tabs>
        <w:ind w:left="1800" w:hanging="300"/>
        <w:jc w:val="left"/>
      </w:pPr>
      <w:r>
        <w:t xml:space="preserve">organizacijsko politiko raznolikosti in vključenosti na delovnem mestu in pri </w:t>
      </w:r>
      <w:r>
        <w:lastRenderedPageBreak/>
        <w:t>opravljanju storitev, ki določa zaveze in korake za njihovo izvajanje;</w:t>
      </w:r>
    </w:p>
    <w:p w14:paraId="6705066A" w14:textId="77777777" w:rsidR="00281E97" w:rsidRDefault="00A253FF">
      <w:pPr>
        <w:pStyle w:val="BodyText"/>
        <w:numPr>
          <w:ilvl w:val="0"/>
          <w:numId w:val="8"/>
        </w:numPr>
        <w:shd w:val="clear" w:color="auto" w:fill="auto"/>
        <w:tabs>
          <w:tab w:val="left" w:pos="1814"/>
        </w:tabs>
        <w:ind w:left="1800" w:hanging="300"/>
        <w:jc w:val="left"/>
      </w:pPr>
      <w:r>
        <w:t>Medorganizacijsko telo ter določitev odgovornosti na vodstveni ravni za usmerjanje izvajanja te politike in njeno uresničevanje;</w:t>
      </w:r>
    </w:p>
    <w:p w14:paraId="46D40DCA" w14:textId="77777777" w:rsidR="00281E97" w:rsidRDefault="00A253FF">
      <w:pPr>
        <w:pStyle w:val="BodyText"/>
        <w:numPr>
          <w:ilvl w:val="0"/>
          <w:numId w:val="8"/>
        </w:numPr>
        <w:shd w:val="clear" w:color="auto" w:fill="auto"/>
        <w:tabs>
          <w:tab w:val="left" w:pos="1814"/>
        </w:tabs>
        <w:ind w:left="1420"/>
        <w:jc w:val="left"/>
      </w:pPr>
      <w:r>
        <w:t>organizacijski sistem, ki zagotavlja:</w:t>
      </w:r>
    </w:p>
    <w:p w14:paraId="5021CCD5" w14:textId="77777777" w:rsidR="00281E97" w:rsidRDefault="00A253FF">
      <w:pPr>
        <w:pStyle w:val="BodyText"/>
        <w:shd w:val="clear" w:color="auto" w:fill="auto"/>
        <w:spacing w:after="0"/>
        <w:ind w:left="2520" w:hanging="360"/>
        <w:jc w:val="left"/>
      </w:pPr>
      <w:r>
        <w:t>1. usposabljanje za krepitev ozaveščenosti in zmožnosti izvajanja takšnih politik;</w:t>
      </w:r>
    </w:p>
    <w:p w14:paraId="3BBBE809" w14:textId="77777777" w:rsidR="00281E97" w:rsidRDefault="00A253FF">
      <w:pPr>
        <w:pStyle w:val="BodyText"/>
        <w:numPr>
          <w:ilvl w:val="0"/>
          <w:numId w:val="9"/>
        </w:numPr>
        <w:shd w:val="clear" w:color="auto" w:fill="auto"/>
        <w:tabs>
          <w:tab w:val="left" w:pos="2520"/>
        </w:tabs>
        <w:ind w:left="2520" w:hanging="360"/>
        <w:jc w:val="left"/>
      </w:pPr>
      <w:r>
        <w:t>da so vodstvene odločitve sprejete ob upoštevanju teh politik; in</w:t>
      </w:r>
    </w:p>
    <w:p w14:paraId="32C18740" w14:textId="77777777" w:rsidR="00281E97" w:rsidRDefault="00A253FF">
      <w:pPr>
        <w:pStyle w:val="BodyText"/>
        <w:numPr>
          <w:ilvl w:val="0"/>
          <w:numId w:val="9"/>
        </w:numPr>
        <w:shd w:val="clear" w:color="auto" w:fill="auto"/>
        <w:tabs>
          <w:tab w:val="left" w:pos="2530"/>
        </w:tabs>
        <w:ind w:left="2540" w:hanging="380"/>
        <w:jc w:val="left"/>
      </w:pPr>
      <w:r>
        <w:t>hitro in učinkovito obravnavo vseh pritožb zaradi kršitev teh politik.</w:t>
      </w:r>
    </w:p>
    <w:p w14:paraId="456E5DE5" w14:textId="77777777" w:rsidR="00281E97" w:rsidRDefault="00A253FF">
      <w:pPr>
        <w:pStyle w:val="BodyText"/>
        <w:numPr>
          <w:ilvl w:val="0"/>
          <w:numId w:val="7"/>
        </w:numPr>
        <w:shd w:val="clear" w:color="auto" w:fill="auto"/>
        <w:tabs>
          <w:tab w:val="left" w:pos="1099"/>
        </w:tabs>
        <w:ind w:left="1080" w:hanging="340"/>
      </w:pPr>
      <w:r>
        <w:t>Državna tožilstva ali pristojni organi lahko sprejmejo kodeks ravnanja, etični kodeks, notranje politike ali smernice, ki vključujejo ustrezne in ambiciozne zaveze na področju raznolikosti in vključenosti pri zaposlovanju ter opravljanju storitev državnih tožilstev.</w:t>
      </w:r>
    </w:p>
    <w:p w14:paraId="3614E426" w14:textId="77777777" w:rsidR="00281E97" w:rsidRDefault="00A253FF">
      <w:pPr>
        <w:pStyle w:val="BodyText"/>
        <w:numPr>
          <w:ilvl w:val="0"/>
          <w:numId w:val="7"/>
        </w:numPr>
        <w:shd w:val="clear" w:color="auto" w:fill="auto"/>
        <w:tabs>
          <w:tab w:val="left" w:pos="1099"/>
        </w:tabs>
        <w:ind w:left="1080" w:hanging="340"/>
      </w:pPr>
      <w:r>
        <w:t>Kadrovske politike, ki veljajo za državna tožilstva, bi lahko vsebovale ustrezne in ambiciozne zaveze na področju raznolikosti in vključenosti na delovnem mestu.</w:t>
      </w:r>
    </w:p>
    <w:p w14:paraId="5A8143FE" w14:textId="77777777" w:rsidR="00281E97" w:rsidRDefault="00A253FF">
      <w:pPr>
        <w:pStyle w:val="BodyText"/>
        <w:numPr>
          <w:ilvl w:val="0"/>
          <w:numId w:val="7"/>
        </w:numPr>
        <w:shd w:val="clear" w:color="auto" w:fill="auto"/>
        <w:tabs>
          <w:tab w:val="left" w:pos="1099"/>
        </w:tabs>
        <w:ind w:left="1080" w:hanging="340"/>
      </w:pPr>
      <w:r>
        <w:t>Ob hkratnem zagotavljanju izpolnjevanja meril za delovna mesta in ustreznosti kandidatov lahko državna tožilstva pripravijo in izvajajo namensko strategijo, ki obsega:</w:t>
      </w:r>
    </w:p>
    <w:p w14:paraId="2C1A5E56" w14:textId="77777777" w:rsidR="00281E97" w:rsidRDefault="00A253FF">
      <w:pPr>
        <w:pStyle w:val="BodyText"/>
        <w:numPr>
          <w:ilvl w:val="0"/>
          <w:numId w:val="10"/>
        </w:numPr>
        <w:shd w:val="clear" w:color="auto" w:fill="auto"/>
        <w:tabs>
          <w:tab w:val="left" w:pos="1814"/>
        </w:tabs>
        <w:ind w:left="1800" w:hanging="300"/>
      </w:pPr>
      <w:r>
        <w:t>dejavne pobude, namenjene različnim skupinam, v okviru katerih se: ozavešča in spodbuja zanimanje za kariero v državnem tožilstvu; zagotavljajo programi pripravništva; spodbuja prijave kandidatov iz raznolikih skupin; ter izvajajo programi usposabljanja in mentorstva za njihovo karierno napredovanje po zaposlitvi;</w:t>
      </w:r>
    </w:p>
    <w:p w14:paraId="0AA1D4C6" w14:textId="77777777" w:rsidR="00281E97" w:rsidRDefault="00A253FF">
      <w:pPr>
        <w:pStyle w:val="BodyText"/>
        <w:numPr>
          <w:ilvl w:val="0"/>
          <w:numId w:val="10"/>
        </w:numPr>
        <w:shd w:val="clear" w:color="auto" w:fill="auto"/>
        <w:tabs>
          <w:tab w:val="left" w:pos="1814"/>
        </w:tabs>
        <w:ind w:left="1800" w:hanging="300"/>
      </w:pPr>
      <w:r>
        <w:t>vzpostavitev sistemov in oblikovanje ukrepov za odzivanje na posebne potrebe posameznih tožilcev in zaposlenih, ki izhajajo iz raznolikosti, da se jim omogoči dostop, sodelovanje in učinkovito delo v delovnem okolju, ter za zagotavljanje dostopa tudi uporabnikom; in</w:t>
      </w:r>
    </w:p>
    <w:p w14:paraId="7D6C6700" w14:textId="77777777" w:rsidR="00281E97" w:rsidRDefault="00A253FF">
      <w:pPr>
        <w:pStyle w:val="BodyText"/>
        <w:numPr>
          <w:ilvl w:val="0"/>
          <w:numId w:val="10"/>
        </w:numPr>
        <w:shd w:val="clear" w:color="auto" w:fill="auto"/>
        <w:tabs>
          <w:tab w:val="left" w:pos="1814"/>
        </w:tabs>
        <w:ind w:left="1800" w:hanging="380"/>
      </w:pPr>
      <w:r>
        <w:t>sprejemanje proaktivnih ukrepov za krepitev in povečanje raznolikosti in vključenosti na delovnem mestu, s postopnim povečevanjem zastopanosti skupin z različnih vidikov raznolikosti na vseh ravneh organizacije.</w:t>
      </w:r>
    </w:p>
    <w:p w14:paraId="42B8583F" w14:textId="77777777" w:rsidR="00281E97" w:rsidRDefault="00A253FF">
      <w:pPr>
        <w:pStyle w:val="BodyText"/>
        <w:numPr>
          <w:ilvl w:val="0"/>
          <w:numId w:val="7"/>
        </w:numPr>
        <w:shd w:val="clear" w:color="auto" w:fill="auto"/>
        <w:tabs>
          <w:tab w:val="left" w:pos="1099"/>
        </w:tabs>
        <w:ind w:left="1080" w:hanging="340"/>
      </w:pPr>
      <w:r>
        <w:t>Državna tožilstva lahko izmenjujejo in se učijo iz dobre prakse drugih držav članic na področju raznolikosti in vključenosti.</w:t>
      </w:r>
    </w:p>
    <w:p w14:paraId="351E3C6F" w14:textId="77777777" w:rsidR="00281E97" w:rsidRDefault="00A253FF">
      <w:pPr>
        <w:pStyle w:val="BodyText"/>
        <w:numPr>
          <w:ilvl w:val="0"/>
          <w:numId w:val="7"/>
        </w:numPr>
        <w:shd w:val="clear" w:color="auto" w:fill="auto"/>
        <w:tabs>
          <w:tab w:val="left" w:pos="1099"/>
        </w:tabs>
        <w:ind w:left="1080" w:hanging="340"/>
      </w:pPr>
      <w:r>
        <w:t>Državna tožilstva lahko zbirajo in uporabljajo podatke o enakosti z različnih vidikov raznolikosti, da bi spremljala in razumela napredek na področju raznolikosti in vključenosti ter usmerjala nadaljnje izboljšave na tem področju.</w:t>
      </w:r>
    </w:p>
    <w:sectPr w:rsidR="00281E97">
      <w:footerReference w:type="default" r:id="rId8"/>
      <w:pgSz w:w="11900" w:h="16840"/>
      <w:pgMar w:top="2108" w:right="1377" w:bottom="1620" w:left="1388" w:header="168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1139" w14:textId="77777777" w:rsidR="00A253FF" w:rsidRDefault="00A253FF">
      <w:r>
        <w:separator/>
      </w:r>
    </w:p>
  </w:endnote>
  <w:endnote w:type="continuationSeparator" w:id="0">
    <w:p w14:paraId="28271547" w14:textId="77777777" w:rsidR="00A253FF" w:rsidRDefault="00A2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739A" w14:textId="77777777" w:rsidR="00281E97" w:rsidRDefault="00A253FF">
    <w:pPr>
      <w:spacing w:line="14" w:lineRule="exact"/>
    </w:pPr>
    <w:r>
      <w:rPr>
        <w:noProof/>
      </w:rPr>
      <mc:AlternateContent>
        <mc:Choice Requires="wps">
          <w:drawing>
            <wp:anchor distT="0" distB="0" distL="0" distR="0" simplePos="0" relativeHeight="62914690" behindDoc="1" locked="0" layoutInCell="1" allowOverlap="1" wp14:anchorId="42C8A792" wp14:editId="26D16954">
              <wp:simplePos x="0" y="0"/>
              <wp:positionH relativeFrom="page">
                <wp:posOffset>3716020</wp:posOffset>
              </wp:positionH>
              <wp:positionV relativeFrom="page">
                <wp:posOffset>9949180</wp:posOffset>
              </wp:positionV>
              <wp:extent cx="14033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0335" cy="121920"/>
                      </a:xfrm>
                      <a:prstGeom prst="rect">
                        <a:avLst/>
                      </a:prstGeom>
                      <a:noFill/>
                    </wps:spPr>
                    <wps:txbx>
                      <w:txbxContent>
                        <w:p w14:paraId="7F1E9113" w14:textId="77777777" w:rsidR="00281E97" w:rsidRDefault="00A253FF">
                          <w:pPr>
                            <w:pStyle w:val="Headerorfooter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rPr>
                            <w:t>#</w:t>
                          </w:r>
                          <w:r>
                            <w:rPr>
                              <w:rFonts w:ascii="Arial" w:eastAsia="Arial" w:hAnsi="Arial" w:cs="Arial"/>
                              <w:sz w:val="22"/>
                            </w:rPr>
                            <w:fldChar w:fldCharType="end"/>
                          </w:r>
                        </w:p>
                      </w:txbxContent>
                    </wps:txbx>
                    <wps:bodyPr wrap="none" lIns="0" tIns="0" rIns="0" bIns="0">
                      <a:spAutoFit/>
                    </wps:bodyPr>
                  </wps:wsp>
                </a:graphicData>
              </a:graphic>
            </wp:anchor>
          </w:drawing>
        </mc:Choice>
        <mc:Fallback>
          <w:pict>
            <v:shape id="_x0000_s1037" type="#_x0000_t202" style="position:absolute;margin-left:292.60000000000002pt;margin-top:783.39999999999998pt;width:11.050000000000001pt;height:9.5999999999999996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z w:val="22"/>
                          <w:shd w:val="clear" w:color="auto" w:fill="auto"/>
                          <w:rFonts w:ascii="Arial" w:eastAsia="Arial" w:hAnsi="Arial" w:cs="Arial"/>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F1F5" w14:textId="77777777" w:rsidR="00281E97" w:rsidRDefault="00A253FF">
      <w:r>
        <w:separator/>
      </w:r>
    </w:p>
  </w:footnote>
  <w:footnote w:type="continuationSeparator" w:id="0">
    <w:p w14:paraId="29B432A0" w14:textId="77777777" w:rsidR="00281E97" w:rsidRDefault="00A253FF">
      <w:r>
        <w:continuationSeparator/>
      </w:r>
    </w:p>
  </w:footnote>
  <w:footnote w:id="1">
    <w:p w14:paraId="4AC27476" w14:textId="77777777" w:rsidR="00281E97" w:rsidRDefault="00A253FF">
      <w:pPr>
        <w:pStyle w:val="Footnote0"/>
        <w:shd w:val="clear" w:color="auto" w:fill="auto"/>
        <w:tabs>
          <w:tab w:val="left" w:pos="115"/>
        </w:tabs>
      </w:pPr>
      <w:bookmarkStart w:id="2" w:name="bookmark0"/>
      <w:bookmarkStart w:id="3" w:name="bookmark1"/>
      <w:r>
        <w:rPr>
          <w:vertAlign w:val="superscript"/>
          <w:lang w:val="en-US"/>
        </w:rPr>
        <w:footnoteRef/>
      </w:r>
      <w:r>
        <w:tab/>
      </w:r>
      <w:r>
        <w:t>Mnenje CCPE št. 9 (2014) o evropskih pravilih in načelih za tožilce, Rimska listina, IV. poglavje.</w:t>
      </w:r>
      <w:bookmarkEnd w:id="2"/>
      <w:bookmarkEnd w:id="3"/>
    </w:p>
  </w:footnote>
  <w:footnote w:id="2">
    <w:p w14:paraId="20FAAE82" w14:textId="77777777" w:rsidR="00281E97" w:rsidRDefault="00A253FF">
      <w:pPr>
        <w:pStyle w:val="Footnote0"/>
        <w:shd w:val="clear" w:color="auto" w:fill="auto"/>
        <w:tabs>
          <w:tab w:val="left" w:pos="158"/>
        </w:tabs>
      </w:pPr>
      <w:r>
        <w:rPr>
          <w:vertAlign w:val="superscript"/>
          <w:lang w:val="en-US"/>
        </w:rPr>
        <w:footnoteRef/>
      </w:r>
      <w:r>
        <w:tab/>
      </w:r>
      <w:r>
        <w:t>Poročilo o evropskih standardih v zvezi z neodvisnostjo pravosodnega sistema: II. del</w:t>
      </w:r>
    </w:p>
    <w:p w14:paraId="4C056A52" w14:textId="1FABF025" w:rsidR="00281E97" w:rsidRDefault="00A253FF">
      <w:pPr>
        <w:pStyle w:val="Footnote0"/>
        <w:shd w:val="clear" w:color="auto" w:fill="auto"/>
      </w:pPr>
      <w:bookmarkStart w:id="4" w:name="bookmark2"/>
      <w:r>
        <w:t>– tožilstvo, ki ga je sprejela Beneška komisija na 85. plenarnem zasedanju (Benetke, 17.</w:t>
      </w:r>
      <w:r w:rsidR="00AE182F">
        <w:t xml:space="preserve"> </w:t>
      </w:r>
      <w:r>
        <w:t>-</w:t>
      </w:r>
      <w:r w:rsidR="00AE182F">
        <w:t xml:space="preserve"> </w:t>
      </w:r>
      <w:r>
        <w:t>18. december 2010), 7. odstavek.</w:t>
      </w:r>
      <w:bookmarkEnd w:id="4"/>
    </w:p>
  </w:footnote>
  <w:footnote w:id="3">
    <w:p w14:paraId="76568800" w14:textId="0855CF74" w:rsidR="00281E97" w:rsidRDefault="00A253FF" w:rsidP="00AE182F">
      <w:pPr>
        <w:pStyle w:val="Footnote0"/>
        <w:shd w:val="clear" w:color="auto" w:fill="auto"/>
        <w:tabs>
          <w:tab w:val="left" w:pos="139"/>
        </w:tabs>
      </w:pPr>
      <w:r>
        <w:rPr>
          <w:vertAlign w:val="superscript"/>
          <w:lang w:val="en-US"/>
        </w:rPr>
        <w:footnoteRef/>
      </w:r>
      <w:r>
        <w:tab/>
      </w:r>
      <w:r>
        <w:t>V tem mnenju se izraz raznolikost nanaša na skupine, ki se soočajo z neenakostjo in diskriminacijo na podlagi širokega spektra identitetnih značilnosti, osebnih lastnosti in varovanih osebnih okoliščin, med drugim tudi tistih iz Evropske konvenciji o človekovih pravicah</w:t>
      </w:r>
      <w:r w:rsidR="00AE182F">
        <w:t xml:space="preserve"> </w:t>
      </w:r>
      <w:bookmarkStart w:id="5" w:name="bookmark3"/>
      <w:r>
        <w:t>(EKČP).</w:t>
      </w:r>
      <w:bookmarkEnd w:id="5"/>
    </w:p>
  </w:footnote>
  <w:footnote w:id="4">
    <w:p w14:paraId="70AC5252" w14:textId="77777777" w:rsidR="00281E97" w:rsidRDefault="00A253FF">
      <w:pPr>
        <w:pStyle w:val="Footnote0"/>
        <w:shd w:val="clear" w:color="auto" w:fill="auto"/>
        <w:tabs>
          <w:tab w:val="left" w:pos="182"/>
        </w:tabs>
      </w:pPr>
      <w:bookmarkStart w:id="6" w:name="bookmark4"/>
      <w:r>
        <w:rPr>
          <w:vertAlign w:val="superscript"/>
          <w:lang w:val="en-US"/>
        </w:rPr>
        <w:footnoteRef/>
      </w:r>
      <w:r>
        <w:tab/>
      </w:r>
      <w:r>
        <w:t>V tem mnenju se izraz vključenost nanaša na zagotavljanje pogojev, ki vsem osebam, ne glede na njihove identitetne značilnosti, osebne lastnosti in varovane osebne okoliščine iz EKČP, omogočajo polno in enakopravno sodelovanje v okviru državnega tožilstva.</w:t>
      </w:r>
      <w:bookmarkEnd w:id="6"/>
    </w:p>
  </w:footnote>
  <w:footnote w:id="5">
    <w:p w14:paraId="1DDF0A67" w14:textId="77777777" w:rsidR="00281E97" w:rsidRDefault="00A253FF">
      <w:pPr>
        <w:pStyle w:val="Footnote0"/>
        <w:shd w:val="clear" w:color="auto" w:fill="auto"/>
        <w:tabs>
          <w:tab w:val="left" w:pos="120"/>
        </w:tabs>
      </w:pPr>
      <w:r>
        <w:rPr>
          <w:vertAlign w:val="superscript"/>
          <w:lang w:val="en-US"/>
        </w:rPr>
        <w:footnoteRef/>
      </w:r>
      <w:r>
        <w:tab/>
      </w:r>
      <w:r>
        <w:t xml:space="preserve">Kot je določeno v 14. členu EKČP in 1. členu Protokola št. 12. Glej ustaljeno sodno prakso Evropskega sodišča za človekove pravice v zvezi z različnimi varovanimi osebnimi okoliščinami iz 14. člena EKČP, na primer na podlagi spola, kot izhaja iz zadev: </w:t>
      </w:r>
      <w:proofErr w:type="spellStart"/>
      <w:r>
        <w:t>Pająk</w:t>
      </w:r>
      <w:proofErr w:type="spellEnd"/>
      <w:r>
        <w:t xml:space="preserve"> in drugi proti Poljski, 24. oktober 2023 (spolna diskriminacija glede starosti za upokojitev); García </w:t>
      </w:r>
      <w:proofErr w:type="spellStart"/>
      <w:r>
        <w:t>Mateos</w:t>
      </w:r>
      <w:proofErr w:type="spellEnd"/>
      <w:r>
        <w:t xml:space="preserve"> proti Španiji, 19. februar 2013 (neizvršitev sodbe, ki je ugotovila spolno diskriminacijo); </w:t>
      </w:r>
      <w:proofErr w:type="spellStart"/>
      <w:r>
        <w:t>Jurčić</w:t>
      </w:r>
      <w:proofErr w:type="spellEnd"/>
      <w:r>
        <w:t xml:space="preserve"> proti Hrvaški, 4. februar 2021 (spolna diskr</w:t>
      </w:r>
      <w:r>
        <w:t>iminacija pri kritju zdravstvenega zavarovanja v okviru zaposlitve).</w:t>
      </w:r>
    </w:p>
  </w:footnote>
  <w:footnote w:id="6">
    <w:p w14:paraId="109ED994" w14:textId="77777777" w:rsidR="00281E97" w:rsidRDefault="00A253FF">
      <w:pPr>
        <w:pStyle w:val="Footnote0"/>
        <w:shd w:val="clear" w:color="auto" w:fill="auto"/>
        <w:tabs>
          <w:tab w:val="left" w:pos="144"/>
        </w:tabs>
      </w:pPr>
      <w:bookmarkStart w:id="8" w:name="bookmark5"/>
      <w:bookmarkStart w:id="9" w:name="bookmark6"/>
      <w:r>
        <w:rPr>
          <w:vertAlign w:val="superscript"/>
          <w:lang w:val="en-US"/>
        </w:rPr>
        <w:footnoteRef/>
      </w:r>
      <w:r>
        <w:tab/>
      </w:r>
      <w:r>
        <w:t>Mnenje CCPE št. 19 (2024) o upravljanju državnih tožilstev za zagotovitev njihove neodvisnosti in nepristranskosti, 57. odstavek.</w:t>
      </w:r>
      <w:bookmarkEnd w:id="8"/>
      <w:bookmarkEnd w:id="9"/>
    </w:p>
  </w:footnote>
  <w:footnote w:id="7">
    <w:p w14:paraId="390DB32C" w14:textId="77777777" w:rsidR="00281E97" w:rsidRDefault="00A253FF">
      <w:pPr>
        <w:pStyle w:val="Footnote0"/>
        <w:shd w:val="clear" w:color="auto" w:fill="auto"/>
        <w:tabs>
          <w:tab w:val="left" w:pos="115"/>
        </w:tabs>
      </w:pPr>
      <w:r>
        <w:rPr>
          <w:vertAlign w:val="superscript"/>
          <w:lang w:val="en-US"/>
        </w:rPr>
        <w:footnoteRef/>
      </w:r>
      <w:r>
        <w:tab/>
      </w:r>
      <w:r>
        <w:t>Mnenje CCPE št. 9 (2014) o evropskih pravilih in načelih za tožilce, Rimska listina, XII. poglavje. Glej tudi Mnenje CCPE št. 13 (2018) o neodvisnosti, odgovornosti in etičnosti tožilcev, priporočilo iz točke (iii).</w:t>
      </w:r>
    </w:p>
  </w:footnote>
  <w:footnote w:id="8">
    <w:p w14:paraId="5D9F5F7F" w14:textId="77777777" w:rsidR="00281E97" w:rsidRDefault="00A253FF">
      <w:pPr>
        <w:pStyle w:val="Footnote0"/>
        <w:shd w:val="clear" w:color="auto" w:fill="auto"/>
        <w:tabs>
          <w:tab w:val="left" w:pos="115"/>
        </w:tabs>
      </w:pPr>
      <w:bookmarkStart w:id="10" w:name="bookmark7"/>
      <w:bookmarkStart w:id="11" w:name="bookmark8"/>
      <w:r>
        <w:rPr>
          <w:vertAlign w:val="superscript"/>
          <w:lang w:val="en-US"/>
        </w:rPr>
        <w:footnoteRef/>
      </w:r>
      <w:r>
        <w:tab/>
      </w:r>
      <w:r>
        <w:t>Mnenje CCPE št. 9 (2014) o evropskih pravilih in načelih za tožilce, Rimska listina, XVIII. poglavje.</w:t>
      </w:r>
      <w:bookmarkEnd w:id="10"/>
      <w:bookmarkEnd w:id="11"/>
    </w:p>
  </w:footnote>
  <w:footnote w:id="9">
    <w:p w14:paraId="461F7409" w14:textId="77777777" w:rsidR="00281E97" w:rsidRDefault="00A253FF">
      <w:pPr>
        <w:pStyle w:val="Footnote0"/>
        <w:shd w:val="clear" w:color="auto" w:fill="auto"/>
        <w:tabs>
          <w:tab w:val="left" w:pos="144"/>
        </w:tabs>
      </w:pPr>
      <w:r>
        <w:rPr>
          <w:vertAlign w:val="superscript"/>
          <w:lang w:val="en-US"/>
        </w:rPr>
        <w:footnoteRef/>
      </w:r>
      <w:r>
        <w:tab/>
      </w:r>
      <w:r>
        <w:t>Mnenje CCPE št. 19 (2024) o upravljanju državnih tožilstev za zagotovitev njihove neodvisnosti in nepristranskosti, 10. odstavek.</w:t>
      </w:r>
    </w:p>
  </w:footnote>
  <w:footnote w:id="10">
    <w:p w14:paraId="3FB3627F" w14:textId="77777777" w:rsidR="00281E97" w:rsidRDefault="00A253FF">
      <w:pPr>
        <w:pStyle w:val="Footnote0"/>
        <w:shd w:val="clear" w:color="auto" w:fill="auto"/>
        <w:tabs>
          <w:tab w:val="left" w:pos="211"/>
        </w:tabs>
      </w:pPr>
      <w:bookmarkStart w:id="13" w:name="bookmark10"/>
      <w:bookmarkStart w:id="14" w:name="bookmark9"/>
      <w:r>
        <w:rPr>
          <w:vertAlign w:val="superscript"/>
          <w:lang w:val="en-US"/>
        </w:rPr>
        <w:footnoteRef/>
      </w:r>
      <w:r>
        <w:tab/>
      </w:r>
      <w:r>
        <w:t>Prepoved neposredne diskriminacije je pomemben mehanizem varstva pred neenakim obravnavanjem posameznika v primerljivem položaju, kadar je ta obravnavan manj ugodno zaradi svoje pripadnosti kateri od varovanih osebnih okoliščin.</w:t>
      </w:r>
      <w:bookmarkEnd w:id="13"/>
      <w:bookmarkEnd w:id="14"/>
    </w:p>
  </w:footnote>
  <w:footnote w:id="11">
    <w:p w14:paraId="5FD68B2F" w14:textId="77777777" w:rsidR="00281E97" w:rsidRDefault="00A253FF">
      <w:pPr>
        <w:pStyle w:val="Footnote0"/>
        <w:shd w:val="clear" w:color="auto" w:fill="auto"/>
        <w:tabs>
          <w:tab w:val="left" w:pos="202"/>
        </w:tabs>
      </w:pPr>
      <w:bookmarkStart w:id="15" w:name="bookmark11"/>
      <w:r>
        <w:rPr>
          <w:vertAlign w:val="superscript"/>
          <w:lang w:val="en-US"/>
        </w:rPr>
        <w:footnoteRef/>
      </w:r>
      <w:r>
        <w:tab/>
      </w:r>
      <w:r>
        <w:t>Prepoved posredne diskriminacije pa predstavlja pomemben mehanizem varstva na institucionalni ravni, kadar na videz nevtralen pogoj ali zahteva organizacije dejansko postavi v slabši položaj tožilca, kandidata za tožilsko funkcijo ali uporabnika storitve zaradi njegove pripadnosti kateri od varovanih osebnih okoliščin, razen če je taka določba oziroma tak pogoj utemeljen z zakonitim ciljem, sredstva za dosego tega cilja pa so potrebna in ustrezna.</w:t>
      </w:r>
      <w:bookmarkEnd w:id="15"/>
    </w:p>
  </w:footnote>
  <w:footnote w:id="12">
    <w:p w14:paraId="44A67D3D" w14:textId="77777777" w:rsidR="00281E97" w:rsidRDefault="00A253FF">
      <w:pPr>
        <w:pStyle w:val="Footnote0"/>
        <w:shd w:val="clear" w:color="auto" w:fill="auto"/>
        <w:tabs>
          <w:tab w:val="left" w:pos="192"/>
        </w:tabs>
      </w:pPr>
      <w:r>
        <w:rPr>
          <w:vertAlign w:val="superscript"/>
          <w:lang w:val="en-US"/>
        </w:rPr>
        <w:footnoteRef/>
      </w:r>
      <w:r>
        <w:tab/>
      </w:r>
      <w:r>
        <w:t>Smernice iz Uredbe (EU) 2024/1689 Evropskega parlamenta in Sveta z dne 13. junija 2024 o določitvi harmoniziranih pravil o umetni inteligenci.</w:t>
      </w:r>
    </w:p>
  </w:footnote>
  <w:footnote w:id="13">
    <w:p w14:paraId="421F6DF8" w14:textId="77777777" w:rsidR="00281E97" w:rsidRDefault="00A253FF">
      <w:pPr>
        <w:pStyle w:val="Footnote0"/>
        <w:shd w:val="clear" w:color="auto" w:fill="auto"/>
        <w:tabs>
          <w:tab w:val="left" w:pos="202"/>
        </w:tabs>
      </w:pPr>
      <w:bookmarkStart w:id="16" w:name="bookmark12"/>
      <w:bookmarkStart w:id="17" w:name="bookmark13"/>
      <w:r>
        <w:rPr>
          <w:vertAlign w:val="superscript"/>
          <w:lang w:val="hr-HR" w:eastAsia="hr-HR" w:bidi="hr-HR"/>
        </w:rPr>
        <w:footnoteRef/>
      </w:r>
      <w:r>
        <w:tab/>
      </w:r>
      <w:r>
        <w:t>Večinoma vključujejo spol, spolno identiteto, spolni izraz in spolne značilnosti; raso, narodni in etnični izvor, barvo kože, državljanstvo in jezik; invalidnost; starost; vero ali prepričanje; spolno usmerjenost. Pogosto vključujejo tudi premoženje, bogastvo, socialni izvor; politično prepričanje; družinski status; članstvo v sindikatu. V številnih primerih zajemajo odprt seznam, ki vključuje tudi kategorijo »drugo«.</w:t>
      </w:r>
      <w:bookmarkEnd w:id="16"/>
      <w:bookmarkEnd w:id="17"/>
    </w:p>
  </w:footnote>
  <w:footnote w:id="14">
    <w:p w14:paraId="4ACA90A5" w14:textId="77777777" w:rsidR="00281E97" w:rsidRDefault="00A253FF">
      <w:pPr>
        <w:pStyle w:val="Footnote0"/>
        <w:shd w:val="clear" w:color="auto" w:fill="auto"/>
        <w:tabs>
          <w:tab w:val="left" w:pos="192"/>
        </w:tabs>
      </w:pPr>
      <w:r>
        <w:rPr>
          <w:vertAlign w:val="superscript"/>
          <w:lang w:val="hr-HR" w:eastAsia="hr-HR" w:bidi="hr-HR"/>
        </w:rPr>
        <w:footnoteRef/>
      </w:r>
      <w:r>
        <w:tab/>
      </w:r>
      <w:r>
        <w:t>Delodajalci in izvajalci storitev, vključno z državnimi tožilstvi, morajo zagotoviti razumne prilagoditve, da osebam z invalidnostjo omogočijo dostop do zaposlitve, učinkovito opravljanje dela, vzpostavljanje delovnih odnosov ter karierno napredovanje, kakor tudi dostop do storitev, razen če bi to zanje pomenilo nesorazmerno breme.</w:t>
      </w:r>
    </w:p>
  </w:footnote>
  <w:footnote w:id="15">
    <w:p w14:paraId="581BE3B4" w14:textId="77777777" w:rsidR="00281E97" w:rsidRDefault="00A253FF">
      <w:pPr>
        <w:pStyle w:val="Footnote0"/>
        <w:shd w:val="clear" w:color="auto" w:fill="auto"/>
        <w:tabs>
          <w:tab w:val="left" w:pos="192"/>
        </w:tabs>
      </w:pPr>
      <w:bookmarkStart w:id="20" w:name="bookmark14"/>
      <w:r>
        <w:rPr>
          <w:vertAlign w:val="superscript"/>
          <w:lang w:val="hr-HR" w:eastAsia="hr-HR" w:bidi="hr-HR"/>
        </w:rPr>
        <w:footnoteRef/>
      </w:r>
      <w:r>
        <w:tab/>
      </w:r>
      <w:r>
        <w:t>Omeniti velja, da je v Evropi na splošno delež žensk v sodstvu, vključno s sodnicami in tožilkami, nižji na višjih hierarhičnih ravneh, pri čemer ostaja seznam držav, v katerih ta delež ne doseže 50 %, razmeroma dolg. To pa ne pomeni, da je položaj nespremenljiv. Delež poklicnih sodnic se je med letoma 2012 in 2022 povečal pri vseh vrstah sodišč. Zlasti je ta splošen porast izrazitejši na višjih hierarhičnih ravneh (glej Poročilo CEPEJ o vrednotenju evropskih pravosodnih sistemov 2024 (podatki za leto 2022</w:t>
      </w:r>
      <w:r>
        <w:t>), 1. del, Splošna analiza, str. 68).</w:t>
      </w:r>
      <w:bookmarkEnd w:id="20"/>
    </w:p>
  </w:footnote>
  <w:footnote w:id="16">
    <w:p w14:paraId="40FB6175" w14:textId="77777777" w:rsidR="00281E97" w:rsidRDefault="00A253FF">
      <w:pPr>
        <w:pStyle w:val="Footnote0"/>
        <w:shd w:val="clear" w:color="auto" w:fill="auto"/>
        <w:tabs>
          <w:tab w:val="left" w:pos="211"/>
        </w:tabs>
      </w:pPr>
      <w:bookmarkStart w:id="23" w:name="bookmark15"/>
      <w:r>
        <w:rPr>
          <w:vertAlign w:val="superscript"/>
          <w:lang w:val="hr-HR" w:eastAsia="hr-HR" w:bidi="hr-HR"/>
        </w:rPr>
        <w:footnoteRef/>
      </w:r>
      <w:r>
        <w:tab/>
      </w:r>
      <w:r>
        <w:t>Glej tudi priporočila iz točk 1–12 iz Smernic CEPEJ o enakosti spolov pri zaposlovanju in napredovanju sodnikov (2022), ki se lahko med drugim v določenem obsegu uporabljajo tudi za tožilce.</w:t>
      </w:r>
      <w:bookmarkEnd w:id="2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2F"/>
    <w:multiLevelType w:val="multilevel"/>
    <w:tmpl w:val="1608A182"/>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B47ED"/>
    <w:multiLevelType w:val="multilevel"/>
    <w:tmpl w:val="129A10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A688B"/>
    <w:multiLevelType w:val="multilevel"/>
    <w:tmpl w:val="B9BC156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867F8F"/>
    <w:multiLevelType w:val="multilevel"/>
    <w:tmpl w:val="BA98F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E36B07"/>
    <w:multiLevelType w:val="multilevel"/>
    <w:tmpl w:val="5DE8E50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393F9C"/>
    <w:multiLevelType w:val="multilevel"/>
    <w:tmpl w:val="2500EE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174A93"/>
    <w:multiLevelType w:val="multilevel"/>
    <w:tmpl w:val="4ED47AB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BC1BC5"/>
    <w:multiLevelType w:val="multilevel"/>
    <w:tmpl w:val="24B0D6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975282"/>
    <w:multiLevelType w:val="multilevel"/>
    <w:tmpl w:val="FCAC15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940553"/>
    <w:multiLevelType w:val="multilevel"/>
    <w:tmpl w:val="FE7EED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2348542">
    <w:abstractNumId w:val="0"/>
  </w:num>
  <w:num w:numId="2" w16cid:durableId="762264615">
    <w:abstractNumId w:val="3"/>
  </w:num>
  <w:num w:numId="3" w16cid:durableId="541290942">
    <w:abstractNumId w:val="8"/>
  </w:num>
  <w:num w:numId="4" w16cid:durableId="267979065">
    <w:abstractNumId w:val="5"/>
  </w:num>
  <w:num w:numId="5" w16cid:durableId="939068324">
    <w:abstractNumId w:val="9"/>
  </w:num>
  <w:num w:numId="6" w16cid:durableId="462965706">
    <w:abstractNumId w:val="1"/>
  </w:num>
  <w:num w:numId="7" w16cid:durableId="1857885125">
    <w:abstractNumId w:val="7"/>
  </w:num>
  <w:num w:numId="8" w16cid:durableId="936672822">
    <w:abstractNumId w:val="2"/>
  </w:num>
  <w:num w:numId="9" w16cid:durableId="1993024392">
    <w:abstractNumId w:val="6"/>
  </w:num>
  <w:num w:numId="10" w16cid:durableId="208020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97"/>
    <w:rsid w:val="00281E97"/>
    <w:rsid w:val="003D2D19"/>
    <w:rsid w:val="00A253FF"/>
    <w:rsid w:val="00AE182F"/>
    <w:rsid w:val="00CA314C"/>
    <w:rsid w:val="00CE61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895D"/>
  <w15:docId w15:val="{120016C9-26AF-42D5-80A4-CDFC2BA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Arial" w:eastAsia="Arial" w:hAnsi="Arial" w:cs="Arial"/>
      <w:b/>
      <w:bCs/>
      <w:i w:val="0"/>
      <w:iCs w:val="0"/>
      <w:smallCaps w:val="0"/>
      <w:strike w:val="0"/>
      <w:color w:val="353535"/>
      <w:sz w:val="16"/>
      <w:szCs w:val="16"/>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lang w:val="sl-SI" w:eastAsia="hr-HR" w:bidi="hr-HR"/>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shd w:val="clear" w:color="auto" w:fill="FFFFFF"/>
      <w:jc w:val="both"/>
    </w:pPr>
    <w:rPr>
      <w:rFonts w:ascii="Arial" w:eastAsia="Arial" w:hAnsi="Arial" w:cs="Arial"/>
      <w:sz w:val="20"/>
      <w:szCs w:val="20"/>
    </w:rPr>
  </w:style>
  <w:style w:type="paragraph" w:customStyle="1" w:styleId="Picturecaption0">
    <w:name w:val="Picture caption"/>
    <w:basedOn w:val="Normal"/>
    <w:link w:val="Picturecaption"/>
    <w:pPr>
      <w:shd w:val="clear" w:color="auto" w:fill="FFFFFF"/>
    </w:pPr>
    <w:rPr>
      <w:rFonts w:ascii="Arial" w:eastAsia="Arial" w:hAnsi="Arial" w:cs="Arial"/>
      <w:b/>
      <w:bCs/>
      <w:color w:val="353535"/>
      <w:sz w:val="16"/>
      <w:szCs w:val="16"/>
    </w:rPr>
  </w:style>
  <w:style w:type="paragraph" w:styleId="BodyText">
    <w:name w:val="Body Text"/>
    <w:basedOn w:val="Normal"/>
    <w:link w:val="BodyTextChar"/>
    <w:qFormat/>
    <w:pPr>
      <w:shd w:val="clear" w:color="auto" w:fill="FFFFFF"/>
      <w:spacing w:after="240"/>
      <w:jc w:val="both"/>
    </w:pPr>
    <w:rPr>
      <w:rFonts w:ascii="Arial" w:eastAsia="Arial" w:hAnsi="Arial" w:cs="Arial"/>
      <w:sz w:val="22"/>
      <w:szCs w:val="22"/>
      <w:lang w:eastAsia="hr-HR" w:bidi="hr-HR"/>
    </w:rPr>
  </w:style>
  <w:style w:type="paragraph" w:customStyle="1" w:styleId="Heading10">
    <w:name w:val="Heading #1"/>
    <w:basedOn w:val="Normal"/>
    <w:link w:val="Heading1"/>
    <w:pPr>
      <w:shd w:val="clear" w:color="auto" w:fill="FFFFFF"/>
      <w:spacing w:after="1580" w:line="346" w:lineRule="auto"/>
      <w:jc w:val="center"/>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line="480" w:lineRule="auto"/>
      <w:ind w:right="260"/>
      <w:jc w:val="center"/>
    </w:pPr>
    <w:rPr>
      <w:rFonts w:ascii="Arial" w:eastAsia="Arial" w:hAnsi="Arial" w:cs="Arial"/>
      <w:b/>
      <w:bCs/>
      <w:sz w:val="28"/>
      <w:szCs w:val="28"/>
    </w:rPr>
  </w:style>
  <w:style w:type="paragraph" w:customStyle="1" w:styleId="Heading20">
    <w:name w:val="Heading #2"/>
    <w:basedOn w:val="Normal"/>
    <w:link w:val="Heading2"/>
    <w:pPr>
      <w:shd w:val="clear" w:color="auto" w:fill="FFFFFF"/>
      <w:spacing w:after="240"/>
      <w:jc w:val="both"/>
      <w:outlineLvl w:val="1"/>
    </w:pPr>
    <w:rPr>
      <w:rFonts w:ascii="Arial" w:eastAsia="Arial" w:hAnsi="Arial" w:cs="Arial"/>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ListParagraph">
    <w:name w:val="List Paragraph"/>
    <w:basedOn w:val="Normal"/>
    <w:uiPriority w:val="34"/>
    <w:qFormat/>
    <w:rsid w:val="00CA3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3747</Words>
  <Characters>24247</Characters>
  <Application>Microsoft Office Word</Application>
  <DocSecurity>0</DocSecurity>
  <Lines>384</Lines>
  <Paragraphs>127</Paragraphs>
  <ScaleCrop>false</ScaleCrop>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Vercher Noguera</dc:creator>
  <cp:keywords/>
  <cp:lastModifiedBy>Maja Viteznik</cp:lastModifiedBy>
  <cp:revision>2</cp:revision>
  <dcterms:created xsi:type="dcterms:W3CDTF">2025-11-18T05:46:00Z</dcterms:created>
  <dcterms:modified xsi:type="dcterms:W3CDTF">2025-11-18T05:46:00Z</dcterms:modified>
</cp:coreProperties>
</file>